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CDB9F9E"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675AE75A" w:rsidR="00D07095" w:rsidRPr="00402C3E" w:rsidRDefault="00E6575F" w:rsidP="004005B5">
      <w:pPr>
        <w:pStyle w:val="Heading"/>
        <w:tabs>
          <w:tab w:val="left" w:pos="0"/>
        </w:tabs>
        <w:spacing w:before="0" w:after="0"/>
        <w:ind w:firstLine="1"/>
        <w:rPr>
          <w:sz w:val="22"/>
          <w:szCs w:val="22"/>
        </w:rPr>
      </w:pPr>
      <w:r>
        <w:rPr>
          <w:szCs w:val="22"/>
        </w:rPr>
        <w:t>INT-010-2.1</w:t>
      </w:r>
      <w:r w:rsidR="0043375A" w:rsidRPr="00F548BE">
        <w:rPr>
          <w:szCs w:val="22"/>
        </w:rPr>
        <w:t xml:space="preserve"> – </w:t>
      </w:r>
      <w:r w:rsidR="008939FC">
        <w:rPr>
          <w:szCs w:val="22"/>
        </w:rPr>
        <w:t>Interchange Initiation and Modification for Reliability</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EE246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EE246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EE246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EE246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45451EB9"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C27F2D" w:rsidRPr="00171071" w14:paraId="2331BECA" w14:textId="77777777" w:rsidTr="00FE4A7A">
        <w:tc>
          <w:tcPr>
            <w:tcW w:w="605" w:type="dxa"/>
            <w:shd w:val="clear" w:color="auto" w:fill="DCDCFF"/>
          </w:tcPr>
          <w:p w14:paraId="44EAFC9D" w14:textId="77777777" w:rsidR="00C27F2D" w:rsidRPr="00171071" w:rsidRDefault="00C27F2D" w:rsidP="00171071">
            <w:pPr>
              <w:jc w:val="center"/>
              <w:rPr>
                <w:rFonts w:asciiTheme="minorHAnsi" w:hAnsiTheme="minorHAnsi"/>
                <w:b/>
                <w:sz w:val="20"/>
                <w:szCs w:val="20"/>
              </w:rPr>
            </w:pPr>
          </w:p>
        </w:tc>
        <w:tc>
          <w:tcPr>
            <w:tcW w:w="605" w:type="dxa"/>
            <w:shd w:val="clear" w:color="auto" w:fill="DCDCFF"/>
          </w:tcPr>
          <w:p w14:paraId="05E9EF80"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4576F87"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4992839"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C27F2D" w:rsidRPr="00171071" w:rsidRDefault="00C27F2D" w:rsidP="00171071">
            <w:pPr>
              <w:jc w:val="center"/>
              <w:rPr>
                <w:rFonts w:asciiTheme="minorHAnsi" w:hAnsiTheme="minorHAnsi"/>
                <w:b/>
                <w:sz w:val="20"/>
                <w:szCs w:val="20"/>
              </w:rPr>
            </w:pPr>
            <w:r w:rsidRPr="00171071">
              <w:rPr>
                <w:rFonts w:asciiTheme="minorHAnsi" w:hAnsiTheme="minorHAnsi"/>
                <w:b/>
                <w:sz w:val="20"/>
                <w:szCs w:val="20"/>
              </w:rPr>
              <w:t>TSP</w:t>
            </w:r>
          </w:p>
        </w:tc>
      </w:tr>
      <w:tr w:rsidR="00C27F2D" w:rsidRPr="00171071" w14:paraId="432E350B" w14:textId="77777777" w:rsidTr="00FE4A7A">
        <w:tc>
          <w:tcPr>
            <w:tcW w:w="605" w:type="dxa"/>
            <w:shd w:val="clear" w:color="auto" w:fill="DCDCFF"/>
          </w:tcPr>
          <w:p w14:paraId="467103F4" w14:textId="77777777" w:rsidR="00C27F2D" w:rsidRPr="00171071" w:rsidRDefault="00C27F2D"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2B15182C" w:rsidR="00C27F2D" w:rsidRPr="00171071" w:rsidRDefault="00C27F2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8D342C"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3D1763C3" w14:textId="755C27B5" w:rsidR="00C27F2D" w:rsidRPr="00171071" w:rsidRDefault="00C27F2D" w:rsidP="00171071">
            <w:pPr>
              <w:jc w:val="center"/>
              <w:rPr>
                <w:rFonts w:asciiTheme="minorHAnsi" w:hAnsiTheme="minorHAnsi"/>
                <w:sz w:val="20"/>
                <w:szCs w:val="20"/>
              </w:rPr>
            </w:pPr>
          </w:p>
        </w:tc>
        <w:tc>
          <w:tcPr>
            <w:tcW w:w="605" w:type="dxa"/>
            <w:shd w:val="clear" w:color="auto" w:fill="DCDCFF"/>
          </w:tcPr>
          <w:p w14:paraId="455AF945"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20A5BF98"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40887695"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4E39F869"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20FBBC86"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747C1520"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57437285"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518D48EF"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3433D2E4" w14:textId="77777777" w:rsidR="00C27F2D" w:rsidRPr="00171071" w:rsidRDefault="00C27F2D" w:rsidP="00171071">
            <w:pPr>
              <w:jc w:val="center"/>
              <w:rPr>
                <w:rFonts w:asciiTheme="minorHAnsi" w:hAnsiTheme="minorHAnsi"/>
                <w:sz w:val="20"/>
                <w:szCs w:val="20"/>
              </w:rPr>
            </w:pPr>
          </w:p>
        </w:tc>
      </w:tr>
      <w:tr w:rsidR="00C27F2D" w:rsidRPr="00171071" w14:paraId="53781A6C" w14:textId="77777777" w:rsidTr="00FE4A7A">
        <w:tc>
          <w:tcPr>
            <w:tcW w:w="605" w:type="dxa"/>
            <w:shd w:val="clear" w:color="auto" w:fill="DCDCFF"/>
          </w:tcPr>
          <w:p w14:paraId="5EB5B405" w14:textId="77777777" w:rsidR="00C27F2D" w:rsidRPr="00171071" w:rsidRDefault="00C27F2D"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261DB618" w:rsidR="00C27F2D" w:rsidRPr="00171071" w:rsidRDefault="00C27F2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883798"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72C99D41" w14:textId="3031BC9E" w:rsidR="00C27F2D" w:rsidRPr="00171071" w:rsidRDefault="00C27F2D" w:rsidP="00171071">
            <w:pPr>
              <w:jc w:val="center"/>
              <w:rPr>
                <w:rFonts w:asciiTheme="minorHAnsi" w:hAnsiTheme="minorHAnsi"/>
                <w:sz w:val="20"/>
                <w:szCs w:val="20"/>
              </w:rPr>
            </w:pPr>
          </w:p>
        </w:tc>
        <w:tc>
          <w:tcPr>
            <w:tcW w:w="605" w:type="dxa"/>
            <w:shd w:val="clear" w:color="auto" w:fill="DCDCFF"/>
          </w:tcPr>
          <w:p w14:paraId="3BA2BB0D"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2CB109C8"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5334FAB3"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328290A0"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55F31DAB"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6AC61743"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4C7765FE"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1B909678"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14E9413A" w14:textId="69750C44" w:rsidR="00C27F2D" w:rsidRPr="00171071" w:rsidRDefault="00C27F2D" w:rsidP="00171071">
            <w:pPr>
              <w:jc w:val="center"/>
              <w:rPr>
                <w:rFonts w:asciiTheme="minorHAnsi" w:hAnsiTheme="minorHAnsi"/>
                <w:sz w:val="20"/>
                <w:szCs w:val="20"/>
              </w:rPr>
            </w:pPr>
          </w:p>
        </w:tc>
      </w:tr>
      <w:tr w:rsidR="00C27F2D" w:rsidRPr="00171071" w14:paraId="5304790C" w14:textId="77777777" w:rsidTr="00FE4A7A">
        <w:tc>
          <w:tcPr>
            <w:tcW w:w="605" w:type="dxa"/>
            <w:shd w:val="clear" w:color="auto" w:fill="DCDCFF"/>
          </w:tcPr>
          <w:p w14:paraId="419A7E98" w14:textId="77777777" w:rsidR="00C27F2D" w:rsidRPr="00171071" w:rsidRDefault="00C27F2D"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0901E963" w:rsidR="00C27F2D" w:rsidRPr="00171071" w:rsidRDefault="00C27F2D"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16A6A7"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3E043480"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425EF88D"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43F7E25A"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580B3F4C"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428825EB"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7C238401"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798C202F" w14:textId="7F1DC825" w:rsidR="00C27F2D" w:rsidRPr="00171071" w:rsidRDefault="00C27F2D" w:rsidP="00171071">
            <w:pPr>
              <w:jc w:val="center"/>
              <w:rPr>
                <w:rFonts w:asciiTheme="minorHAnsi" w:hAnsiTheme="minorHAnsi"/>
                <w:sz w:val="20"/>
                <w:szCs w:val="20"/>
              </w:rPr>
            </w:pPr>
          </w:p>
        </w:tc>
        <w:tc>
          <w:tcPr>
            <w:tcW w:w="605" w:type="dxa"/>
            <w:shd w:val="clear" w:color="auto" w:fill="DCDCFF"/>
          </w:tcPr>
          <w:p w14:paraId="0FBB94CD"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2A483B57" w14:textId="77777777" w:rsidR="00C27F2D" w:rsidRPr="00171071" w:rsidRDefault="00C27F2D" w:rsidP="00171071">
            <w:pPr>
              <w:jc w:val="center"/>
              <w:rPr>
                <w:rFonts w:asciiTheme="minorHAnsi" w:hAnsiTheme="minorHAnsi"/>
                <w:sz w:val="20"/>
                <w:szCs w:val="20"/>
              </w:rPr>
            </w:pPr>
          </w:p>
        </w:tc>
        <w:tc>
          <w:tcPr>
            <w:tcW w:w="605" w:type="dxa"/>
            <w:shd w:val="clear" w:color="auto" w:fill="DCDCFF"/>
          </w:tcPr>
          <w:p w14:paraId="30193B4B" w14:textId="77777777" w:rsidR="00C27F2D" w:rsidRPr="00171071" w:rsidRDefault="00C27F2D"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C826F9">
        <w:tc>
          <w:tcPr>
            <w:tcW w:w="735" w:type="dxa"/>
            <w:tcBorders>
              <w:bottom w:val="single" w:sz="4" w:space="0" w:color="auto"/>
            </w:tcBorders>
            <w:shd w:val="clear" w:color="auto" w:fill="DCDCFF"/>
          </w:tcPr>
          <w:p w14:paraId="74A72C6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C826F9">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051FEB6A" w14:textId="77777777" w:rsidTr="00C826F9">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4A99BBEB" w14:textId="77777777" w:rsidTr="00C826F9">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EE246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EE246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EE2461">
        <w:tc>
          <w:tcPr>
            <w:tcW w:w="738" w:type="dxa"/>
            <w:shd w:val="clear" w:color="auto" w:fill="DCDCFF"/>
          </w:tcPr>
          <w:p w14:paraId="1705AC1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EE2461">
        <w:tc>
          <w:tcPr>
            <w:tcW w:w="738" w:type="dxa"/>
          </w:tcPr>
          <w:p w14:paraId="5B0DDD23"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3F9C165E" w14:textId="77777777" w:rsidTr="00EE2461">
        <w:tc>
          <w:tcPr>
            <w:tcW w:w="738" w:type="dxa"/>
          </w:tcPr>
          <w:p w14:paraId="380628B4"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62C2AA85" w14:textId="77777777" w:rsidTr="00EE2461">
        <w:tc>
          <w:tcPr>
            <w:tcW w:w="738" w:type="dxa"/>
          </w:tcPr>
          <w:p w14:paraId="6212F2C8"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EE246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EE2461">
        <w:tc>
          <w:tcPr>
            <w:tcW w:w="738" w:type="dxa"/>
            <w:shd w:val="clear" w:color="auto" w:fill="DCDCFF"/>
          </w:tcPr>
          <w:p w14:paraId="6DDF3CDD"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EE2461">
        <w:tc>
          <w:tcPr>
            <w:tcW w:w="738" w:type="dxa"/>
          </w:tcPr>
          <w:p w14:paraId="045FC0FC"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4FB9D4F5" w14:textId="77777777" w:rsidTr="00EE2461">
        <w:tc>
          <w:tcPr>
            <w:tcW w:w="738" w:type="dxa"/>
          </w:tcPr>
          <w:p w14:paraId="119DFDB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710E0EA1" w14:textId="77777777" w:rsidTr="00EE2461">
        <w:tc>
          <w:tcPr>
            <w:tcW w:w="738" w:type="dxa"/>
          </w:tcPr>
          <w:p w14:paraId="272BA52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EE246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t>R1 Supporting Evidence and Documentation</w:t>
      </w:r>
      <w:bookmarkEnd w:id="1"/>
    </w:p>
    <w:p w14:paraId="5BBAC5D9" w14:textId="1E32028D" w:rsidR="008939FC" w:rsidRPr="008939FC" w:rsidRDefault="00BB361A" w:rsidP="008939FC">
      <w:pPr>
        <w:pStyle w:val="Requirement"/>
        <w:numPr>
          <w:ilvl w:val="0"/>
          <w:numId w:val="0"/>
        </w:numPr>
        <w:tabs>
          <w:tab w:val="left" w:pos="2592"/>
          <w:tab w:val="left" w:pos="3240"/>
        </w:tabs>
        <w:rPr>
          <w:rFonts w:asciiTheme="minorHAnsi" w:hAnsiTheme="minorHAnsi"/>
        </w:rPr>
      </w:pPr>
      <w:r w:rsidRPr="008939FC">
        <w:rPr>
          <w:rFonts w:asciiTheme="minorHAnsi" w:hAnsiTheme="minorHAnsi"/>
          <w:b/>
        </w:rPr>
        <w:t>R1</w:t>
      </w:r>
      <w:r w:rsidRPr="008939FC">
        <w:rPr>
          <w:rFonts w:asciiTheme="minorHAnsi" w:hAnsiTheme="minorHAnsi"/>
        </w:rPr>
        <w:t>.</w:t>
      </w:r>
      <w:r w:rsidR="0049415C" w:rsidRPr="008939FC">
        <w:rPr>
          <w:rFonts w:asciiTheme="minorHAnsi" w:hAnsiTheme="minorHAnsi"/>
        </w:rPr>
        <w:t xml:space="preserve"> </w:t>
      </w:r>
      <w:r w:rsidR="008939FC" w:rsidRPr="008939FC">
        <w:rPr>
          <w:rFonts w:asciiTheme="minorHAnsi" w:hAnsiTheme="minorHAnsi"/>
        </w:rPr>
        <w:t xml:space="preserve">The Balancing Authority that experiences a loss of resources covered by an energy sharing agreement or other reliability needs covered by an energy sharing agreement shall ensure that a Request for Interchange (RFI) is submitted with a start time no more than 60 minutes beyond the resource loss. If the use of the energy sharing agreement does not exceed 60 minutes from the time of the resource loss, no RFI is required. </w:t>
      </w:r>
    </w:p>
    <w:p w14:paraId="27450733" w14:textId="5B0990AD" w:rsidR="008939FC" w:rsidRPr="008939FC" w:rsidRDefault="008939FC" w:rsidP="008939FC">
      <w:pPr>
        <w:pStyle w:val="Measure"/>
        <w:tabs>
          <w:tab w:val="clear" w:pos="936"/>
          <w:tab w:val="left" w:pos="0"/>
        </w:tabs>
        <w:ind w:left="0" w:firstLine="0"/>
        <w:rPr>
          <w:rFonts w:asciiTheme="minorHAnsi" w:hAnsiTheme="minorHAnsi"/>
        </w:rPr>
      </w:pPr>
      <w:r>
        <w:rPr>
          <w:rFonts w:asciiTheme="minorHAnsi" w:hAnsiTheme="minorHAnsi"/>
        </w:rPr>
        <w:t xml:space="preserve"> </w:t>
      </w:r>
      <w:r w:rsidRPr="008939FC">
        <w:rPr>
          <w:rFonts w:asciiTheme="minorHAnsi" w:hAnsiTheme="minorHAnsi"/>
        </w:rPr>
        <w:t>The Balancing Authority that uses its energy sharing agreement where the duration exceeds 60 minutes shall have evidence such as dated and time-stamped RFI, electronic logs or other similar evidence that it submitted an RFI per Requirement R1. (R1)</w:t>
      </w:r>
    </w:p>
    <w:p w14:paraId="33738AAE" w14:textId="393FB2CA" w:rsidR="00895015" w:rsidRDefault="00895015" w:rsidP="008939FC">
      <w:pPr>
        <w:pStyle w:val="Requirement"/>
        <w:numPr>
          <w:ilvl w:val="0"/>
          <w:numId w:val="0"/>
        </w:numPr>
        <w:rPr>
          <w:rFonts w:asciiTheme="minorHAnsi" w:hAnsiTheme="minorHAnsi"/>
          <w:b/>
        </w:rPr>
      </w:pPr>
    </w:p>
    <w:p w14:paraId="5A7E29C3" w14:textId="77777777" w:rsidR="008E556D" w:rsidRDefault="008E556D" w:rsidP="008E556D">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5150A90" w14:textId="46940EB4" w:rsidR="008E556D" w:rsidRDefault="008E556D" w:rsidP="008E556D">
      <w:pPr>
        <w:rPr>
          <w:rFonts w:asciiTheme="minorHAnsi" w:hAnsiTheme="minorHAnsi" w:cs="Times New Roman"/>
        </w:rPr>
      </w:pPr>
      <w:r w:rsidRPr="006C43BC">
        <w:rPr>
          <w:rFonts w:asciiTheme="minorHAnsi" w:hAnsiTheme="minorHAnsi" w:cs="Times New Roman"/>
          <w:b/>
        </w:rPr>
        <w:t xml:space="preserve">Question: </w:t>
      </w:r>
      <w:r w:rsidRPr="00356DFB">
        <w:rPr>
          <w:rFonts w:asciiTheme="minorHAnsi" w:hAnsiTheme="minorHAnsi" w:cs="Times New Roman"/>
        </w:rPr>
        <w:t>D</w:t>
      </w:r>
      <w:r>
        <w:rPr>
          <w:rFonts w:asciiTheme="minorHAnsi" w:hAnsiTheme="minorHAnsi" w:cs="Times New Roman"/>
        </w:rPr>
        <w:t>id entity experience a loss of resources, or other reliability needs</w:t>
      </w:r>
      <w:r w:rsidR="00F92FA1">
        <w:rPr>
          <w:rFonts w:asciiTheme="minorHAnsi" w:hAnsiTheme="minorHAnsi" w:cs="Times New Roman"/>
        </w:rPr>
        <w:t xml:space="preserve"> that exceeded 60 minutes</w:t>
      </w:r>
      <w:r>
        <w:rPr>
          <w:rFonts w:asciiTheme="minorHAnsi" w:hAnsiTheme="minorHAnsi" w:cs="Times New Roman"/>
        </w:rPr>
        <w:t>, covered by an energy sharing agreement during the compliance monitoring period</w:t>
      </w:r>
      <w:r w:rsidRPr="00356DFB">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342FF4C" w14:textId="77777777" w:rsidR="008E556D" w:rsidRDefault="008E556D" w:rsidP="008E556D">
      <w:pPr>
        <w:rPr>
          <w:rFonts w:asciiTheme="minorHAnsi" w:hAnsiTheme="minorHAnsi" w:cs="Times New Roman"/>
        </w:rPr>
      </w:pPr>
      <w:r>
        <w:rPr>
          <w:rFonts w:asciiTheme="minorHAnsi" w:hAnsiTheme="minorHAnsi" w:cs="Times New Roman"/>
        </w:rPr>
        <w:t>If yes, proceed to Evidence Requested section below.</w:t>
      </w:r>
    </w:p>
    <w:p w14:paraId="3C48B6F0" w14:textId="77777777" w:rsidR="008E556D" w:rsidRDefault="008E556D" w:rsidP="008E556D">
      <w:pPr>
        <w:rPr>
          <w:rFonts w:asciiTheme="minorHAnsi" w:hAnsiTheme="minorHAnsi" w:cs="Times New Roman"/>
        </w:rPr>
      </w:pPr>
      <w:r>
        <w:rPr>
          <w:rFonts w:asciiTheme="minorHAnsi" w:hAnsiTheme="minorHAnsi" w:cs="Times New Roman"/>
        </w:rPr>
        <w:t>If no, Requirement R1 is not applicable.</w:t>
      </w:r>
    </w:p>
    <w:p w14:paraId="4C9EF519" w14:textId="77777777" w:rsidR="008E556D" w:rsidRPr="00557049" w:rsidRDefault="008E556D" w:rsidP="008E556D">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92D9DBF" w14:textId="77777777" w:rsidR="008E556D" w:rsidRPr="00705BB3" w:rsidRDefault="008E556D" w:rsidP="008E556D">
      <w:pPr>
        <w:widowControl w:val="0"/>
        <w:shd w:val="clear" w:color="auto" w:fill="CDFFCD"/>
        <w:jc w:val="both"/>
        <w:rPr>
          <w:rFonts w:asciiTheme="minorHAnsi" w:hAnsiTheme="minorHAnsi" w:cs="Times New Roman"/>
          <w:bCs/>
          <w:color w:val="auto"/>
          <w:sz w:val="22"/>
          <w:szCs w:val="22"/>
        </w:rPr>
      </w:pPr>
    </w:p>
    <w:p w14:paraId="36095DD0" w14:textId="77777777" w:rsidR="008E556D" w:rsidRPr="00705BB3" w:rsidRDefault="008E556D" w:rsidP="008E556D">
      <w:pPr>
        <w:widowControl w:val="0"/>
        <w:shd w:val="clear" w:color="auto" w:fill="CDFFCD"/>
        <w:jc w:val="both"/>
        <w:rPr>
          <w:rFonts w:asciiTheme="minorHAnsi" w:hAnsiTheme="minorHAnsi" w:cs="Times New Roman"/>
          <w:bCs/>
          <w:color w:val="auto"/>
          <w:sz w:val="22"/>
          <w:szCs w:val="22"/>
        </w:rPr>
      </w:pPr>
    </w:p>
    <w:p w14:paraId="48A3224A" w14:textId="77777777" w:rsidR="008E556D" w:rsidRPr="006C43BC" w:rsidRDefault="008E556D" w:rsidP="008939FC">
      <w:pPr>
        <w:pStyle w:val="Requirement"/>
        <w:numPr>
          <w:ilvl w:val="0"/>
          <w:numId w:val="0"/>
        </w:numPr>
        <w:rPr>
          <w:rFonts w:asciiTheme="minorHAnsi" w:hAnsiTheme="minorHAnsi"/>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689FEA45" w:rsidR="00C1568A" w:rsidRPr="006C43BC" w:rsidRDefault="00C1568A" w:rsidP="00D97E2A">
      <w:pPr>
        <w:pStyle w:val="RqtSection"/>
        <w:rPr>
          <w:rFonts w:cstheme="minorHAnsi"/>
          <w:i/>
          <w:iCs/>
        </w:rPr>
      </w:pPr>
      <w:r>
        <w:t>Evidence Requested</w:t>
      </w:r>
      <w:r w:rsidR="00C31AF9">
        <w:t>:</w:t>
      </w:r>
      <w:r w:rsidR="00AD32EC">
        <w:rPr>
          <w:rStyle w:val="EndnoteReference"/>
        </w:rPr>
        <w:endnoteReference w:id="1"/>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023D31">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E556D" w:rsidRPr="00676D1E" w14:paraId="4713738A" w14:textId="77777777" w:rsidTr="00023D31">
        <w:tc>
          <w:tcPr>
            <w:tcW w:w="10790" w:type="dxa"/>
            <w:shd w:val="clear" w:color="auto" w:fill="DCDCFF"/>
          </w:tcPr>
          <w:p w14:paraId="6A1BC9A3" w14:textId="6CC72DBF" w:rsidR="008E556D" w:rsidRDefault="008E556D" w:rsidP="00A3145E">
            <w:pPr>
              <w:widowControl w:val="0"/>
              <w:jc w:val="both"/>
              <w:rPr>
                <w:rFonts w:asciiTheme="minorHAnsi" w:hAnsiTheme="minorHAnsi" w:cs="Times New Roman"/>
                <w:color w:val="auto"/>
              </w:rPr>
            </w:pPr>
            <w:r>
              <w:rPr>
                <w:rFonts w:asciiTheme="minorHAnsi" w:hAnsiTheme="minorHAnsi" w:cs="Times New Roman"/>
                <w:color w:val="auto"/>
              </w:rPr>
              <w:t>A list of instances</w:t>
            </w:r>
            <w:r w:rsidR="00B91499">
              <w:rPr>
                <w:rFonts w:asciiTheme="minorHAnsi" w:hAnsiTheme="minorHAnsi" w:cs="Times New Roman"/>
                <w:color w:val="auto"/>
              </w:rPr>
              <w:t xml:space="preserve"> during the compliance monitoring period</w:t>
            </w:r>
            <w:r>
              <w:rPr>
                <w:rFonts w:asciiTheme="minorHAnsi" w:hAnsiTheme="minorHAnsi" w:cs="Times New Roman"/>
                <w:color w:val="auto"/>
              </w:rPr>
              <w:t xml:space="preserve"> where entity experienced a loss of resources covered by an energy sharing agreement </w:t>
            </w:r>
            <w:r w:rsidR="00953CE9">
              <w:rPr>
                <w:rFonts w:asciiTheme="minorHAnsi" w:hAnsiTheme="minorHAnsi" w:cs="Times New Roman"/>
                <w:color w:val="auto"/>
              </w:rPr>
              <w:t xml:space="preserve">or other reliability needs covered by an energy sharing agreement </w:t>
            </w:r>
            <w:r w:rsidR="00A3145E">
              <w:rPr>
                <w:rFonts w:asciiTheme="minorHAnsi" w:hAnsiTheme="minorHAnsi" w:cs="Times New Roman"/>
                <w:color w:val="auto"/>
              </w:rPr>
              <w:t>that was used for at least</w:t>
            </w:r>
            <w:r>
              <w:rPr>
                <w:rFonts w:asciiTheme="minorHAnsi" w:hAnsiTheme="minorHAnsi" w:cs="Times New Roman"/>
                <w:color w:val="auto"/>
              </w:rPr>
              <w:t xml:space="preserve"> 60 minutes from the</w:t>
            </w:r>
            <w:r w:rsidR="00A3145E">
              <w:rPr>
                <w:rFonts w:asciiTheme="minorHAnsi" w:hAnsiTheme="minorHAnsi" w:cs="Times New Roman"/>
                <w:color w:val="auto"/>
              </w:rPr>
              <w:t xml:space="preserve"> time of</w:t>
            </w:r>
            <w:r>
              <w:rPr>
                <w:rFonts w:asciiTheme="minorHAnsi" w:hAnsiTheme="minorHAnsi" w:cs="Times New Roman"/>
                <w:color w:val="auto"/>
              </w:rPr>
              <w:t xml:space="preserve"> resource loss.</w:t>
            </w:r>
          </w:p>
        </w:tc>
      </w:tr>
      <w:tr w:rsidR="00BF371A" w:rsidRPr="00676D1E" w14:paraId="4903CC69" w14:textId="77777777" w:rsidTr="00023D31">
        <w:tc>
          <w:tcPr>
            <w:tcW w:w="10790" w:type="dxa"/>
            <w:shd w:val="clear" w:color="auto" w:fill="DCDCFF"/>
          </w:tcPr>
          <w:p w14:paraId="594F0F1E" w14:textId="1CD26BC5" w:rsidR="00BF371A" w:rsidRDefault="008E556D" w:rsidP="00EE2461">
            <w:pPr>
              <w:widowControl w:val="0"/>
              <w:jc w:val="both"/>
              <w:rPr>
                <w:rFonts w:asciiTheme="minorHAnsi" w:hAnsiTheme="minorHAnsi" w:cs="Times New Roman"/>
                <w:color w:val="auto"/>
              </w:rPr>
            </w:pPr>
            <w:r>
              <w:rPr>
                <w:rFonts w:asciiTheme="minorHAnsi" w:hAnsiTheme="minorHAnsi" w:cs="Times New Roman"/>
                <w:color w:val="auto"/>
              </w:rPr>
              <w:t>Dated and time-stamped RFI, electronic logs, or other similar evidence</w:t>
            </w:r>
            <w:r w:rsidR="00703366">
              <w:rPr>
                <w:rFonts w:asciiTheme="minorHAnsi" w:hAnsiTheme="minorHAnsi" w:cs="Times New Roman"/>
                <w:color w:val="auto"/>
              </w:rPr>
              <w:t xml:space="preserve"> of resource loss and</w:t>
            </w:r>
            <w:r>
              <w:rPr>
                <w:rFonts w:asciiTheme="minorHAnsi" w:hAnsiTheme="minorHAnsi" w:cs="Times New Roman"/>
                <w:color w:val="auto"/>
              </w:rPr>
              <w:t xml:space="preserve"> </w:t>
            </w:r>
            <w:r w:rsidR="00022F0C">
              <w:rPr>
                <w:rFonts w:asciiTheme="minorHAnsi" w:hAnsiTheme="minorHAnsi" w:cs="Times New Roman"/>
                <w:color w:val="auto"/>
              </w:rPr>
              <w:t xml:space="preserve">evidence </w:t>
            </w:r>
            <w:r>
              <w:rPr>
                <w:rFonts w:asciiTheme="minorHAnsi" w:hAnsiTheme="minorHAnsi" w:cs="Times New Roman"/>
                <w:color w:val="auto"/>
              </w:rPr>
              <w:t xml:space="preserve">that entity </w:t>
            </w:r>
            <w:r w:rsidR="003D056C">
              <w:rPr>
                <w:rFonts w:asciiTheme="minorHAnsi" w:hAnsiTheme="minorHAnsi" w:cs="Times New Roman"/>
                <w:color w:val="auto"/>
              </w:rPr>
              <w:t>submitted</w:t>
            </w:r>
            <w:r>
              <w:rPr>
                <w:rFonts w:asciiTheme="minorHAnsi" w:hAnsiTheme="minorHAnsi" w:cs="Times New Roman"/>
                <w:color w:val="auto"/>
              </w:rPr>
              <w:t xml:space="preserve"> an RFI per Requirement R1.</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14F1DFC7" w:rsidR="00E02E53" w:rsidRPr="00812336" w:rsidRDefault="00E02E53" w:rsidP="00022F0C">
            <w:pPr>
              <w:tabs>
                <w:tab w:val="left" w:pos="0"/>
              </w:tabs>
              <w:autoSpaceDE/>
              <w:autoSpaceDN/>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w:t>
            </w:r>
            <w:r w:rsidR="00022F0C">
              <w:rPr>
                <w:rFonts w:asciiTheme="minorHAnsi" w:hAnsiTheme="minorHAnsi" w:cs="Times New Roman"/>
                <w:b/>
                <w:bCs/>
              </w:rPr>
              <w:t xml:space="preserve"> </w:t>
            </w:r>
            <w:r>
              <w:rPr>
                <w:rFonts w:asciiTheme="minorHAnsi" w:hAnsiTheme="minorHAnsi" w:cs="Times New Roman"/>
                <w:b/>
                <w:bCs/>
              </w:rPr>
              <w:t xml:space="preserve"> </w:t>
            </w:r>
            <w:r w:rsidR="00022F0C">
              <w:rPr>
                <w:rFonts w:asciiTheme="minorHAnsi" w:hAnsiTheme="minorHAnsi" w:cs="Times New Roman"/>
                <w:b/>
                <w:bCs/>
              </w:rPr>
              <w:t>E</w:t>
            </w:r>
            <w:r w:rsidRPr="00812336">
              <w:rPr>
                <w:rFonts w:asciiTheme="minorHAnsi" w:hAnsiTheme="minorHAnsi" w:cs="Times New Roman"/>
                <w:b/>
                <w:bCs/>
              </w:rPr>
              <w:t>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EE246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59EB5539"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6575F">
        <w:t>INT-010-2.1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4B162A">
        <w:tc>
          <w:tcPr>
            <w:tcW w:w="374" w:type="dxa"/>
          </w:tcPr>
          <w:p w14:paraId="10CC5FD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8495E4" w14:textId="2A2A9C10" w:rsidR="00C1568A" w:rsidRPr="00023D31" w:rsidRDefault="008E556D" w:rsidP="00D865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 For all, or a sample</w:t>
            </w:r>
            <w:r w:rsidR="00D24275">
              <w:rPr>
                <w:rFonts w:asciiTheme="minorHAnsi" w:hAnsiTheme="minorHAnsi" w:cs="Times New Roman"/>
                <w:color w:val="auto"/>
              </w:rPr>
              <w:t xml:space="preserve"> of,</w:t>
            </w:r>
            <w:r w:rsidR="007A72CC">
              <w:rPr>
                <w:rFonts w:asciiTheme="minorHAnsi" w:hAnsiTheme="minorHAnsi" w:cs="Times New Roman"/>
                <w:color w:val="auto"/>
              </w:rPr>
              <w:t xml:space="preserve"> instances where</w:t>
            </w:r>
            <w:r w:rsidR="00953CE9">
              <w:rPr>
                <w:rFonts w:asciiTheme="minorHAnsi" w:hAnsiTheme="minorHAnsi" w:cs="Times New Roman"/>
                <w:color w:val="auto"/>
              </w:rPr>
              <w:t xml:space="preserve"> the</w:t>
            </w:r>
            <w:r w:rsidR="007A72CC">
              <w:rPr>
                <w:rFonts w:asciiTheme="minorHAnsi" w:hAnsiTheme="minorHAnsi" w:cs="Times New Roman"/>
                <w:color w:val="auto"/>
              </w:rPr>
              <w:t xml:space="preserve"> entity experienced</w:t>
            </w:r>
            <w:r w:rsidR="00703366">
              <w:rPr>
                <w:rFonts w:asciiTheme="minorHAnsi" w:hAnsiTheme="minorHAnsi" w:cs="Times New Roman"/>
                <w:color w:val="auto"/>
              </w:rPr>
              <w:t xml:space="preserve"> a</w:t>
            </w:r>
            <w:r w:rsidR="007A72CC">
              <w:rPr>
                <w:rFonts w:asciiTheme="minorHAnsi" w:hAnsiTheme="minorHAnsi" w:cs="Times New Roman"/>
                <w:color w:val="auto"/>
              </w:rPr>
              <w:t xml:space="preserve"> loss of resources covered by an energy sharing agreement</w:t>
            </w:r>
            <w:r w:rsidR="00953CE9">
              <w:rPr>
                <w:rFonts w:asciiTheme="minorHAnsi" w:hAnsiTheme="minorHAnsi" w:cs="Times New Roman"/>
                <w:color w:val="auto"/>
              </w:rPr>
              <w:t xml:space="preserve"> or other reliability needs covered by an energy sharing agreement</w:t>
            </w:r>
            <w:r w:rsidR="007A72CC">
              <w:rPr>
                <w:rFonts w:asciiTheme="minorHAnsi" w:hAnsiTheme="minorHAnsi" w:cs="Times New Roman"/>
                <w:color w:val="auto"/>
              </w:rPr>
              <w:t xml:space="preserve"> (per Requirement R1), examine evidence to verify entity ensured that a RFI was submitted with a start time no more than 60 minutes beyond the resource loss (and otherwise in accordance with Requirement R1.)</w:t>
            </w:r>
          </w:p>
        </w:tc>
      </w:tr>
      <w:tr w:rsidR="00C1568A" w:rsidRPr="006C43BC" w14:paraId="431903D7" w14:textId="77777777" w:rsidTr="004B162A">
        <w:tc>
          <w:tcPr>
            <w:tcW w:w="10790" w:type="dxa"/>
            <w:gridSpan w:val="2"/>
            <w:shd w:val="clear" w:color="auto" w:fill="DCDCFF"/>
          </w:tcPr>
          <w:p w14:paraId="70568AD5" w14:textId="13E32A91" w:rsidR="00C1568A" w:rsidRPr="006C43BC" w:rsidRDefault="00C1568A" w:rsidP="008A0D7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E56B362" w14:textId="5A3E5B8C" w:rsidR="00066981" w:rsidRDefault="00066981" w:rsidP="00066981">
      <w:pPr>
        <w:pStyle w:val="SectHead"/>
      </w:pPr>
      <w:r w:rsidRPr="006C43BC">
        <w:t>R</w:t>
      </w:r>
      <w:r>
        <w:t>2</w:t>
      </w:r>
      <w:r w:rsidRPr="006C43BC">
        <w:t xml:space="preserve"> Supporting Evidence and Documentation</w:t>
      </w:r>
    </w:p>
    <w:p w14:paraId="53C5E7B3" w14:textId="3854067A" w:rsidR="008939FC" w:rsidRPr="008939FC" w:rsidRDefault="004752ED" w:rsidP="008939FC">
      <w:pPr>
        <w:pStyle w:val="Requirement"/>
        <w:tabs>
          <w:tab w:val="clear" w:pos="-144"/>
          <w:tab w:val="num" w:pos="0"/>
        </w:tabs>
        <w:ind w:left="0" w:firstLine="0"/>
        <w:rPr>
          <w:rFonts w:asciiTheme="minorHAnsi" w:hAnsiTheme="minorHAnsi"/>
        </w:rPr>
      </w:pPr>
      <w:r>
        <w:rPr>
          <w:rFonts w:asciiTheme="minorHAnsi" w:hAnsiTheme="minorHAnsi"/>
        </w:rPr>
        <w:t xml:space="preserve"> </w:t>
      </w:r>
      <w:r w:rsidR="008939FC" w:rsidRPr="008939FC">
        <w:rPr>
          <w:rFonts w:asciiTheme="minorHAnsi" w:hAnsiTheme="minorHAnsi"/>
        </w:rPr>
        <w:t>Each Sink Balancing Authority shall ensure that a Reliability Adjustment Arranged Interchange</w:t>
      </w:r>
      <w:r w:rsidR="008939FC" w:rsidRPr="008939FC">
        <w:rPr>
          <w:rFonts w:asciiTheme="minorHAnsi" w:hAnsiTheme="minorHAnsi"/>
          <w:b/>
        </w:rPr>
        <w:t xml:space="preserve"> </w:t>
      </w:r>
      <w:r w:rsidR="008939FC" w:rsidRPr="008939FC">
        <w:rPr>
          <w:rFonts w:asciiTheme="minorHAnsi" w:hAnsiTheme="minorHAnsi"/>
        </w:rPr>
        <w:t xml:space="preserve">reflecting a modification is submitted within 60 minutes of the start of the modification if a Reliability Coordinator directs the modification of a Confirmed Interchange or Implemented Interchange for actual or anticipated reliability-related reasons.  </w:t>
      </w:r>
    </w:p>
    <w:p w14:paraId="6A569BAF" w14:textId="0A8956C2" w:rsidR="008939FC" w:rsidRPr="008939FC" w:rsidRDefault="004752ED" w:rsidP="008939FC">
      <w:pPr>
        <w:pStyle w:val="Measure"/>
        <w:tabs>
          <w:tab w:val="clear" w:pos="936"/>
          <w:tab w:val="left" w:pos="0"/>
        </w:tabs>
        <w:ind w:left="0" w:firstLine="0"/>
        <w:rPr>
          <w:rFonts w:asciiTheme="minorHAnsi" w:hAnsiTheme="minorHAnsi"/>
        </w:rPr>
      </w:pPr>
      <w:r>
        <w:rPr>
          <w:rFonts w:asciiTheme="minorHAnsi" w:hAnsiTheme="minorHAnsi"/>
        </w:rPr>
        <w:t xml:space="preserve"> </w:t>
      </w:r>
      <w:r w:rsidR="008939FC" w:rsidRPr="008939FC">
        <w:rPr>
          <w:rFonts w:asciiTheme="minorHAnsi" w:hAnsiTheme="minorHAnsi"/>
        </w:rPr>
        <w:t xml:space="preserve">The Sink Balancing Authority shall have evidence </w:t>
      </w:r>
      <w:r w:rsidR="008939FC" w:rsidRPr="008939FC">
        <w:rPr>
          <w:rFonts w:asciiTheme="minorHAnsi" w:hAnsiTheme="minorHAnsi"/>
          <w:szCs w:val="22"/>
        </w:rPr>
        <w:t xml:space="preserve">such as dated and time-stamped electronic logs </w:t>
      </w:r>
      <w:r w:rsidR="008939FC" w:rsidRPr="008939FC">
        <w:rPr>
          <w:rFonts w:asciiTheme="minorHAnsi" w:hAnsiTheme="minorHAnsi"/>
        </w:rPr>
        <w:t>or other similar evidence</w:t>
      </w:r>
      <w:r w:rsidR="008939FC" w:rsidRPr="008939FC">
        <w:rPr>
          <w:rFonts w:asciiTheme="minorHAnsi" w:hAnsiTheme="minorHAnsi"/>
          <w:szCs w:val="22"/>
        </w:rPr>
        <w:t xml:space="preserve"> </w:t>
      </w:r>
      <w:r w:rsidR="008939FC" w:rsidRPr="008939FC">
        <w:rPr>
          <w:rFonts w:asciiTheme="minorHAnsi" w:hAnsiTheme="minorHAnsi"/>
        </w:rPr>
        <w:t>that a Reliability Adjustment Arranged Interchange was submitted within 60 minutes of the start of a modification to either a Confirmed Interchange or an Implemented Interchange that was directed by a Reliability Coordinator for actual or anticipated reliability-related reasons. (R2)</w:t>
      </w:r>
    </w:p>
    <w:p w14:paraId="7BD1B230" w14:textId="77777777" w:rsidR="00066981" w:rsidRPr="006C43BC" w:rsidRDefault="00066981" w:rsidP="00066981">
      <w:pPr>
        <w:widowControl w:val="0"/>
        <w:tabs>
          <w:tab w:val="left" w:pos="0"/>
        </w:tabs>
        <w:rPr>
          <w:rFonts w:asciiTheme="minorHAnsi" w:hAnsiTheme="minorHAnsi" w:cs="Times New Roman"/>
          <w:b/>
          <w:bCs/>
        </w:rPr>
      </w:pPr>
    </w:p>
    <w:p w14:paraId="33A4C544" w14:textId="77777777" w:rsidR="00703366" w:rsidRDefault="00703366" w:rsidP="00703366">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3308A3C" w14:textId="13D5AE25" w:rsidR="00703366" w:rsidRDefault="00703366" w:rsidP="00703366">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Has a Reliability Coordinator directed the entity modify a Confirmed Interchange or Implemented</w:t>
      </w:r>
      <w:r w:rsidR="007C461A">
        <w:rPr>
          <w:rFonts w:asciiTheme="minorHAnsi" w:hAnsiTheme="minorHAnsi" w:cs="Times New Roman"/>
        </w:rPr>
        <w:t xml:space="preserve"> Interchange (per Requirement R2</w:t>
      </w:r>
      <w:r>
        <w:rPr>
          <w:rFonts w:asciiTheme="minorHAnsi" w:hAnsiTheme="minorHAnsi" w:cs="Times New Roman"/>
        </w:rPr>
        <w:t>) during the compliance monitoring period</w:t>
      </w:r>
      <w:r w:rsidRPr="00356DFB">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99067662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343075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833F30C" w14:textId="77777777" w:rsidR="00703366" w:rsidRDefault="00703366" w:rsidP="00703366">
      <w:pPr>
        <w:rPr>
          <w:rFonts w:asciiTheme="minorHAnsi" w:hAnsiTheme="minorHAnsi" w:cs="Times New Roman"/>
        </w:rPr>
      </w:pPr>
      <w:r>
        <w:rPr>
          <w:rFonts w:asciiTheme="minorHAnsi" w:hAnsiTheme="minorHAnsi" w:cs="Times New Roman"/>
        </w:rPr>
        <w:t>If yes, proceed to Evidence Requested section below.</w:t>
      </w:r>
    </w:p>
    <w:p w14:paraId="4BFFBF44" w14:textId="76FABAC7" w:rsidR="00703366" w:rsidRDefault="007C461A" w:rsidP="00703366">
      <w:pPr>
        <w:rPr>
          <w:rFonts w:asciiTheme="minorHAnsi" w:hAnsiTheme="minorHAnsi" w:cs="Times New Roman"/>
        </w:rPr>
      </w:pPr>
      <w:r>
        <w:rPr>
          <w:rFonts w:asciiTheme="minorHAnsi" w:hAnsiTheme="minorHAnsi" w:cs="Times New Roman"/>
        </w:rPr>
        <w:t>If no, Requirement R2</w:t>
      </w:r>
      <w:r w:rsidR="00703366">
        <w:rPr>
          <w:rFonts w:asciiTheme="minorHAnsi" w:hAnsiTheme="minorHAnsi" w:cs="Times New Roman"/>
        </w:rPr>
        <w:t xml:space="preserve"> is not applicable.</w:t>
      </w:r>
    </w:p>
    <w:p w14:paraId="2D597E7A" w14:textId="77777777" w:rsidR="00703366" w:rsidRPr="00557049" w:rsidRDefault="00703366" w:rsidP="00703366">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D55E1F0" w14:textId="77777777" w:rsidR="00703366" w:rsidRPr="00705BB3" w:rsidRDefault="00703366" w:rsidP="00703366">
      <w:pPr>
        <w:widowControl w:val="0"/>
        <w:shd w:val="clear" w:color="auto" w:fill="CDFFCD"/>
        <w:jc w:val="both"/>
        <w:rPr>
          <w:rFonts w:asciiTheme="minorHAnsi" w:hAnsiTheme="minorHAnsi" w:cs="Times New Roman"/>
          <w:bCs/>
          <w:color w:val="auto"/>
          <w:sz w:val="22"/>
          <w:szCs w:val="22"/>
        </w:rPr>
      </w:pPr>
    </w:p>
    <w:p w14:paraId="42C9A94D" w14:textId="77777777" w:rsidR="00703366" w:rsidRPr="00705BB3" w:rsidRDefault="00703366" w:rsidP="00703366">
      <w:pPr>
        <w:widowControl w:val="0"/>
        <w:shd w:val="clear" w:color="auto" w:fill="CDFFCD"/>
        <w:jc w:val="both"/>
        <w:rPr>
          <w:rFonts w:asciiTheme="minorHAnsi" w:hAnsiTheme="minorHAnsi" w:cs="Times New Roman"/>
          <w:bCs/>
          <w:color w:val="auto"/>
          <w:sz w:val="22"/>
          <w:szCs w:val="22"/>
        </w:rPr>
      </w:pPr>
    </w:p>
    <w:p w14:paraId="58645E66" w14:textId="77777777" w:rsidR="00703366" w:rsidRDefault="00703366" w:rsidP="00066981">
      <w:pPr>
        <w:widowControl w:val="0"/>
        <w:rPr>
          <w:rFonts w:asciiTheme="minorHAnsi" w:hAnsiTheme="minorHAnsi" w:cs="Times New Roman"/>
          <w:b/>
          <w:bCs/>
        </w:rPr>
      </w:pPr>
    </w:p>
    <w:p w14:paraId="36ADC65C" w14:textId="77777777" w:rsidR="00066981" w:rsidRPr="006C43BC" w:rsidRDefault="00066981" w:rsidP="000669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39F990E" w14:textId="77777777" w:rsidR="00066981" w:rsidRPr="00A5228E" w:rsidRDefault="00066981" w:rsidP="000669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BF7B8F" w14:textId="77777777" w:rsidR="00066981" w:rsidRPr="006C43BC" w:rsidRDefault="00066981" w:rsidP="000669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8F4161C" w14:textId="77777777" w:rsidR="00066981" w:rsidRPr="00705BB3" w:rsidRDefault="00066981" w:rsidP="00066981">
      <w:pPr>
        <w:widowControl w:val="0"/>
        <w:shd w:val="clear" w:color="auto" w:fill="CDFFCD"/>
        <w:jc w:val="both"/>
        <w:rPr>
          <w:rFonts w:asciiTheme="minorHAnsi" w:hAnsiTheme="minorHAnsi" w:cs="Times New Roman"/>
          <w:bCs/>
          <w:color w:val="auto"/>
          <w:sz w:val="22"/>
          <w:szCs w:val="22"/>
        </w:rPr>
      </w:pPr>
    </w:p>
    <w:p w14:paraId="0700FF00" w14:textId="77777777" w:rsidR="00066981" w:rsidRPr="00705BB3" w:rsidRDefault="00066981" w:rsidP="00066981">
      <w:pPr>
        <w:widowControl w:val="0"/>
        <w:shd w:val="clear" w:color="auto" w:fill="CDFFCD"/>
        <w:jc w:val="both"/>
        <w:rPr>
          <w:rFonts w:asciiTheme="minorHAnsi" w:hAnsiTheme="minorHAnsi" w:cs="Times New Roman"/>
          <w:bCs/>
          <w:color w:val="auto"/>
          <w:sz w:val="22"/>
          <w:szCs w:val="22"/>
        </w:rPr>
      </w:pPr>
    </w:p>
    <w:p w14:paraId="4C4359C6" w14:textId="77777777" w:rsidR="00066981" w:rsidRPr="006C43BC" w:rsidRDefault="00066981" w:rsidP="00066981">
      <w:pPr>
        <w:widowControl w:val="0"/>
        <w:spacing w:line="266" w:lineRule="exact"/>
        <w:rPr>
          <w:rFonts w:asciiTheme="minorHAnsi" w:hAnsiTheme="minorHAnsi" w:cs="Times New Roman"/>
          <w:b/>
          <w:bCs/>
        </w:rPr>
      </w:pPr>
    </w:p>
    <w:p w14:paraId="4ED7D24D" w14:textId="0AEDA320" w:rsidR="00066981" w:rsidRPr="006C43BC" w:rsidRDefault="00066981" w:rsidP="00066981">
      <w:pPr>
        <w:pStyle w:val="RqtSection"/>
        <w:rPr>
          <w:rFonts w:cstheme="minorHAnsi"/>
          <w:i/>
          <w:iCs/>
        </w:rPr>
      </w:pPr>
      <w:r>
        <w:t xml:space="preserve">Evidence </w:t>
      </w:r>
      <w:r w:rsidR="00453E57">
        <w:t>Requested</w:t>
      </w:r>
      <w:r w:rsidRPr="006C43BC">
        <w:t>:</w:t>
      </w:r>
    </w:p>
    <w:tbl>
      <w:tblPr>
        <w:tblStyle w:val="TableGrid"/>
        <w:tblW w:w="0" w:type="auto"/>
        <w:shd w:val="clear" w:color="auto" w:fill="DCDCFF"/>
        <w:tblLook w:val="04A0" w:firstRow="1" w:lastRow="0" w:firstColumn="1" w:lastColumn="0" w:noHBand="0" w:noVBand="1"/>
      </w:tblPr>
      <w:tblGrid>
        <w:gridCol w:w="10790"/>
      </w:tblGrid>
      <w:tr w:rsidR="00066981" w:rsidRPr="006C43BC" w14:paraId="7EB904E7" w14:textId="77777777" w:rsidTr="00823344">
        <w:tc>
          <w:tcPr>
            <w:tcW w:w="10790" w:type="dxa"/>
            <w:shd w:val="clear" w:color="auto" w:fill="DCDCFF"/>
          </w:tcPr>
          <w:p w14:paraId="48ABB7DA" w14:textId="77777777" w:rsidR="00066981" w:rsidRPr="00705BB3" w:rsidRDefault="00066981"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66981" w:rsidRPr="00676D1E" w14:paraId="1DB41BE9" w14:textId="77777777" w:rsidTr="00823344">
        <w:tc>
          <w:tcPr>
            <w:tcW w:w="10790" w:type="dxa"/>
            <w:shd w:val="clear" w:color="auto" w:fill="DCDCFF"/>
          </w:tcPr>
          <w:p w14:paraId="1AFE028A" w14:textId="7777BCF8" w:rsidR="00066981" w:rsidRDefault="00703366" w:rsidP="00EE2461">
            <w:pPr>
              <w:widowControl w:val="0"/>
              <w:jc w:val="both"/>
              <w:rPr>
                <w:rFonts w:asciiTheme="minorHAnsi" w:hAnsiTheme="minorHAnsi" w:cs="Times New Roman"/>
                <w:color w:val="auto"/>
              </w:rPr>
            </w:pPr>
            <w:r>
              <w:rPr>
                <w:rFonts w:asciiTheme="minorHAnsi" w:hAnsiTheme="minorHAnsi" w:cs="Times New Roman"/>
                <w:color w:val="auto"/>
              </w:rPr>
              <w:t xml:space="preserve">A list of instances </w:t>
            </w:r>
            <w:r w:rsidR="00B91499">
              <w:rPr>
                <w:rFonts w:asciiTheme="minorHAnsi" w:hAnsiTheme="minorHAnsi" w:cs="Times New Roman"/>
                <w:color w:val="auto"/>
              </w:rPr>
              <w:t xml:space="preserve">during the compliance monitoring period </w:t>
            </w:r>
            <w:r>
              <w:rPr>
                <w:rFonts w:asciiTheme="minorHAnsi" w:hAnsiTheme="minorHAnsi" w:cs="Times New Roman"/>
                <w:color w:val="auto"/>
              </w:rPr>
              <w:t>where</w:t>
            </w:r>
            <w:r w:rsidR="00532B20">
              <w:rPr>
                <w:rFonts w:asciiTheme="minorHAnsi" w:hAnsiTheme="minorHAnsi" w:cs="Times New Roman"/>
                <w:color w:val="auto"/>
              </w:rPr>
              <w:t xml:space="preserve"> the</w:t>
            </w:r>
            <w:r>
              <w:rPr>
                <w:rFonts w:asciiTheme="minorHAnsi" w:hAnsiTheme="minorHAnsi" w:cs="Times New Roman"/>
                <w:color w:val="auto"/>
              </w:rPr>
              <w:t xml:space="preserve"> entity </w:t>
            </w:r>
            <w:r w:rsidR="00B91499">
              <w:rPr>
                <w:rFonts w:asciiTheme="minorHAnsi" w:hAnsiTheme="minorHAnsi" w:cs="Times New Roman"/>
                <w:color w:val="auto"/>
              </w:rPr>
              <w:t>was directed by a Reliability Coordinator to modify a Confirmed Interchange or Implemented Interchange (per Requirement R2).</w:t>
            </w:r>
          </w:p>
        </w:tc>
      </w:tr>
      <w:tr w:rsidR="00B91499" w:rsidRPr="00676D1E" w14:paraId="5DBEE0FB" w14:textId="77777777" w:rsidTr="00823344">
        <w:tc>
          <w:tcPr>
            <w:tcW w:w="10790" w:type="dxa"/>
            <w:shd w:val="clear" w:color="auto" w:fill="DCDCFF"/>
          </w:tcPr>
          <w:p w14:paraId="2AE2E6D9" w14:textId="25122CB8" w:rsidR="00B91499" w:rsidRDefault="00B91499" w:rsidP="00EE2461">
            <w:pPr>
              <w:widowControl w:val="0"/>
              <w:jc w:val="both"/>
              <w:rPr>
                <w:rFonts w:asciiTheme="minorHAnsi" w:hAnsiTheme="minorHAnsi" w:cs="Times New Roman"/>
                <w:color w:val="auto"/>
              </w:rPr>
            </w:pPr>
            <w:r>
              <w:rPr>
                <w:rFonts w:asciiTheme="minorHAnsi" w:hAnsiTheme="minorHAnsi" w:cs="Times New Roman"/>
                <w:color w:val="auto"/>
              </w:rPr>
              <w:t>Dated and time-stamped electronic logs or other similar evidence of both the direction from the Reliability Coordinator to modify a Confirmed or Implemented Interchange and that a Reliability Adjustment Arranged Interchange was submitted wit</w:t>
            </w:r>
            <w:r w:rsidR="00532B20">
              <w:rPr>
                <w:rFonts w:asciiTheme="minorHAnsi" w:hAnsiTheme="minorHAnsi" w:cs="Times New Roman"/>
                <w:color w:val="auto"/>
              </w:rPr>
              <w:t xml:space="preserve">hin 60 minutes of the start of the modification </w:t>
            </w:r>
            <w:r>
              <w:rPr>
                <w:rFonts w:asciiTheme="minorHAnsi" w:hAnsiTheme="minorHAnsi" w:cs="Times New Roman"/>
                <w:color w:val="auto"/>
              </w:rPr>
              <w:t>(per Requirement R2).</w:t>
            </w:r>
          </w:p>
        </w:tc>
      </w:tr>
    </w:tbl>
    <w:p w14:paraId="547A48E5" w14:textId="77777777" w:rsidR="00066981" w:rsidRDefault="00066981" w:rsidP="00066981">
      <w:pPr>
        <w:widowControl w:val="0"/>
        <w:spacing w:line="266" w:lineRule="exact"/>
        <w:rPr>
          <w:rFonts w:asciiTheme="minorHAnsi" w:hAnsiTheme="minorHAnsi" w:cs="Times New Roman"/>
          <w:b/>
          <w:bCs/>
          <w:color w:val="auto"/>
        </w:rPr>
      </w:pPr>
    </w:p>
    <w:p w14:paraId="724B58B9" w14:textId="77777777" w:rsidR="00066981" w:rsidRPr="006C43BC" w:rsidRDefault="00066981" w:rsidP="0006698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6981" w:rsidRPr="00812336" w14:paraId="07251600" w14:textId="77777777" w:rsidTr="00EE2461">
        <w:tc>
          <w:tcPr>
            <w:tcW w:w="10995" w:type="dxa"/>
            <w:gridSpan w:val="6"/>
            <w:shd w:val="clear" w:color="auto" w:fill="DCDCFF"/>
            <w:vAlign w:val="bottom"/>
          </w:tcPr>
          <w:p w14:paraId="4F97A1C0" w14:textId="755575D0" w:rsidR="00066981" w:rsidRPr="00812336" w:rsidRDefault="00066981" w:rsidP="00022F0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00022F0C">
              <w:rPr>
                <w:rFonts w:asciiTheme="minorHAnsi" w:hAnsiTheme="minorHAnsi" w:cs="Times New Roman"/>
                <w:b/>
                <w:bCs/>
              </w:rPr>
              <w:t>E</w:t>
            </w:r>
            <w:r w:rsidRPr="00812336">
              <w:rPr>
                <w:rFonts w:asciiTheme="minorHAnsi" w:hAnsiTheme="minorHAnsi" w:cs="Times New Roman"/>
                <w:b/>
                <w:bCs/>
              </w:rPr>
              <w:t>vidence submitted should be highlighted and bookmarked, as appropriate, to identify the exact location where evidence of compliance may be found.</w:t>
            </w:r>
          </w:p>
        </w:tc>
      </w:tr>
      <w:tr w:rsidR="00066981" w:rsidRPr="00812336" w14:paraId="7F311772" w14:textId="77777777" w:rsidTr="00EE2461">
        <w:tc>
          <w:tcPr>
            <w:tcW w:w="2340" w:type="dxa"/>
            <w:shd w:val="clear" w:color="auto" w:fill="DCDCFF"/>
            <w:vAlign w:val="bottom"/>
          </w:tcPr>
          <w:p w14:paraId="34C9A9E9"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788140E"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A7630B4"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375E81"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E31511C"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015545"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66981" w:rsidRPr="00705BB3" w14:paraId="3C0539BF" w14:textId="77777777" w:rsidTr="00EE2461">
        <w:tc>
          <w:tcPr>
            <w:tcW w:w="2340" w:type="dxa"/>
            <w:shd w:val="clear" w:color="auto" w:fill="CDFFCD"/>
          </w:tcPr>
          <w:p w14:paraId="195D7963"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067FF1"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670423"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116866A"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2F3FDD"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B1D355"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r w:rsidR="00066981" w:rsidRPr="00705BB3" w14:paraId="2E2B3894" w14:textId="77777777" w:rsidTr="00EE2461">
        <w:tc>
          <w:tcPr>
            <w:tcW w:w="2340" w:type="dxa"/>
            <w:shd w:val="clear" w:color="auto" w:fill="CDFFCD"/>
          </w:tcPr>
          <w:p w14:paraId="2F85345F"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36EE24"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5A9572"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24235C"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56D5E4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C7C706"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r w:rsidR="00066981" w:rsidRPr="00705BB3" w14:paraId="7BAE115D" w14:textId="77777777" w:rsidTr="00EE2461">
        <w:tc>
          <w:tcPr>
            <w:tcW w:w="2340" w:type="dxa"/>
            <w:shd w:val="clear" w:color="auto" w:fill="CDFFCD"/>
          </w:tcPr>
          <w:p w14:paraId="4B2641EF"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BC4232"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443FD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532155"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332931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42CC8C"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bl>
    <w:p w14:paraId="5FDD1C63" w14:textId="77777777" w:rsidR="00066981" w:rsidRPr="006C43BC" w:rsidRDefault="00066981" w:rsidP="00066981">
      <w:pPr>
        <w:widowControl w:val="0"/>
        <w:rPr>
          <w:rFonts w:asciiTheme="minorHAnsi" w:hAnsiTheme="minorHAnsi" w:cs="Times New Roman"/>
        </w:rPr>
      </w:pPr>
    </w:p>
    <w:p w14:paraId="4096E8B1" w14:textId="77777777" w:rsidR="00066981" w:rsidRPr="006C43BC" w:rsidRDefault="00066981" w:rsidP="000669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66981" w:rsidRPr="00705BB3" w14:paraId="088F5CD0" w14:textId="77777777" w:rsidTr="00EE2461">
        <w:tc>
          <w:tcPr>
            <w:tcW w:w="11016" w:type="dxa"/>
            <w:shd w:val="clear" w:color="auto" w:fill="auto"/>
          </w:tcPr>
          <w:p w14:paraId="7869A943" w14:textId="77777777" w:rsidR="00066981" w:rsidRPr="00705BB3" w:rsidRDefault="00066981" w:rsidP="00EE2461">
            <w:pPr>
              <w:widowControl w:val="0"/>
              <w:rPr>
                <w:rFonts w:asciiTheme="minorHAnsi" w:hAnsiTheme="minorHAnsi" w:cs="Times New Roman"/>
                <w:sz w:val="22"/>
                <w:szCs w:val="22"/>
              </w:rPr>
            </w:pPr>
          </w:p>
        </w:tc>
      </w:tr>
      <w:tr w:rsidR="00066981" w:rsidRPr="00705BB3" w14:paraId="32C13737" w14:textId="77777777" w:rsidTr="00EE2461">
        <w:tc>
          <w:tcPr>
            <w:tcW w:w="11016" w:type="dxa"/>
            <w:shd w:val="clear" w:color="auto" w:fill="auto"/>
          </w:tcPr>
          <w:p w14:paraId="7EE85992" w14:textId="77777777" w:rsidR="00066981" w:rsidRPr="00705BB3" w:rsidRDefault="00066981" w:rsidP="00EE2461">
            <w:pPr>
              <w:widowControl w:val="0"/>
              <w:rPr>
                <w:rFonts w:asciiTheme="minorHAnsi" w:hAnsiTheme="minorHAnsi" w:cs="Times New Roman"/>
                <w:sz w:val="22"/>
                <w:szCs w:val="22"/>
              </w:rPr>
            </w:pPr>
          </w:p>
        </w:tc>
      </w:tr>
      <w:tr w:rsidR="00066981" w:rsidRPr="00705BB3" w14:paraId="1C694A22" w14:textId="77777777" w:rsidTr="00EE2461">
        <w:tc>
          <w:tcPr>
            <w:tcW w:w="11016" w:type="dxa"/>
            <w:shd w:val="clear" w:color="auto" w:fill="auto"/>
          </w:tcPr>
          <w:p w14:paraId="39701884" w14:textId="77777777" w:rsidR="00066981" w:rsidRPr="00705BB3" w:rsidRDefault="00066981" w:rsidP="00EE2461">
            <w:pPr>
              <w:widowControl w:val="0"/>
              <w:rPr>
                <w:rFonts w:asciiTheme="minorHAnsi" w:hAnsiTheme="minorHAnsi" w:cs="Times New Roman"/>
                <w:sz w:val="22"/>
                <w:szCs w:val="22"/>
              </w:rPr>
            </w:pPr>
          </w:p>
        </w:tc>
      </w:tr>
    </w:tbl>
    <w:p w14:paraId="0E4DCD73" w14:textId="77777777" w:rsidR="00066981" w:rsidRPr="006C43BC" w:rsidRDefault="00066981" w:rsidP="00066981">
      <w:pPr>
        <w:widowControl w:val="0"/>
        <w:rPr>
          <w:rFonts w:asciiTheme="minorHAnsi" w:hAnsiTheme="minorHAnsi" w:cs="Times New Roman"/>
        </w:rPr>
      </w:pPr>
    </w:p>
    <w:p w14:paraId="59CF791C" w14:textId="157898E7" w:rsidR="00066981" w:rsidRPr="00722443" w:rsidRDefault="00066981" w:rsidP="00066981">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rsidR="008939FC">
        <w:t xml:space="preserve"> </w:t>
      </w:r>
      <w:r w:rsidR="00E6575F">
        <w:t>INT-010-2.1</w:t>
      </w:r>
      <w:r>
        <w:t>, R2</w:t>
      </w:r>
    </w:p>
    <w:p w14:paraId="07661A31" w14:textId="77777777" w:rsidR="00066981" w:rsidRPr="006C43BC" w:rsidRDefault="00066981" w:rsidP="000669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23344" w:rsidRPr="00705BB3" w14:paraId="40DAFCCF" w14:textId="77777777" w:rsidTr="00823344">
        <w:tc>
          <w:tcPr>
            <w:tcW w:w="374" w:type="dxa"/>
          </w:tcPr>
          <w:p w14:paraId="5200E300" w14:textId="77777777" w:rsidR="00823344" w:rsidRPr="00705BB3" w:rsidRDefault="00823344" w:rsidP="00823344">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71161A0" w14:textId="413D4DF7" w:rsidR="00823344" w:rsidRPr="00823344" w:rsidRDefault="00532B20" w:rsidP="0082334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(R2) For all</w:t>
            </w:r>
            <w:r w:rsidR="00D24275">
              <w:rPr>
                <w:rFonts w:asciiTheme="minorHAnsi" w:hAnsiTheme="minorHAnsi" w:cs="Times New Roman"/>
                <w:color w:val="auto"/>
              </w:rPr>
              <w:t>,</w:t>
            </w:r>
            <w:r>
              <w:rPr>
                <w:rFonts w:asciiTheme="minorHAnsi" w:hAnsiTheme="minorHAnsi" w:cs="Times New Roman"/>
                <w:color w:val="auto"/>
              </w:rPr>
              <w:t xml:space="preserve"> or a sample of</w:t>
            </w:r>
            <w:r w:rsidR="00D24275">
              <w:rPr>
                <w:rFonts w:asciiTheme="minorHAnsi" w:hAnsiTheme="minorHAnsi" w:cs="Times New Roman"/>
                <w:color w:val="auto"/>
              </w:rPr>
              <w:t>,</w:t>
            </w:r>
            <w:r>
              <w:rPr>
                <w:rFonts w:asciiTheme="minorHAnsi" w:hAnsiTheme="minorHAnsi" w:cs="Times New Roman"/>
                <w:color w:val="auto"/>
              </w:rPr>
              <w:t xml:space="preserve"> instances where the entity was directed by a Reliability Coordinator to modify a Confirmed or Implemented Interchange, review evidence to verify entity </w:t>
            </w:r>
            <w:r w:rsidR="003D056C">
              <w:rPr>
                <w:rFonts w:asciiTheme="minorHAnsi" w:hAnsiTheme="minorHAnsi" w:cs="Times New Roman"/>
                <w:color w:val="auto"/>
              </w:rPr>
              <w:t>submitted</w:t>
            </w:r>
            <w:r>
              <w:rPr>
                <w:rFonts w:asciiTheme="minorHAnsi" w:hAnsiTheme="minorHAnsi" w:cs="Times New Roman"/>
                <w:color w:val="auto"/>
              </w:rPr>
              <w:t xml:space="preserve"> a Reliability Adjustment Arranged Interchange within 60 minutes of the start of the modification (per Requirement R2).</w:t>
            </w:r>
          </w:p>
        </w:tc>
      </w:tr>
      <w:tr w:rsidR="00066981" w:rsidRPr="006C43BC" w14:paraId="218283B2" w14:textId="77777777" w:rsidTr="00823344">
        <w:tc>
          <w:tcPr>
            <w:tcW w:w="10790" w:type="dxa"/>
            <w:gridSpan w:val="2"/>
            <w:shd w:val="clear" w:color="auto" w:fill="DCDCFF"/>
          </w:tcPr>
          <w:p w14:paraId="2BBA34A6" w14:textId="13BAE72B" w:rsidR="00066981" w:rsidRPr="006C43BC" w:rsidRDefault="00066981" w:rsidP="008939F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70310C4" w14:textId="77777777" w:rsidR="00066981" w:rsidRPr="006C43BC" w:rsidRDefault="00066981" w:rsidP="00066981">
      <w:pPr>
        <w:widowControl w:val="0"/>
        <w:tabs>
          <w:tab w:val="left" w:pos="0"/>
        </w:tabs>
        <w:rPr>
          <w:rFonts w:asciiTheme="minorHAnsi" w:hAnsiTheme="minorHAnsi" w:cs="Times New Roman"/>
          <w:b/>
          <w:bCs/>
        </w:rPr>
      </w:pPr>
    </w:p>
    <w:p w14:paraId="3BA70585" w14:textId="77777777" w:rsidR="00066981" w:rsidRPr="006C43BC" w:rsidRDefault="00066981" w:rsidP="00066981">
      <w:pPr>
        <w:pStyle w:val="RqtSection"/>
        <w:rPr>
          <w:color w:val="264D74"/>
        </w:rPr>
      </w:pPr>
      <w:r w:rsidRPr="006C43BC">
        <w:t>Auditor</w:t>
      </w:r>
      <w:r>
        <w:t xml:space="preserve"> </w:t>
      </w:r>
      <w:r w:rsidRPr="006C43BC">
        <w:t>Notes:</w:t>
      </w:r>
      <w:r w:rsidRPr="006C43BC">
        <w:rPr>
          <w:color w:val="264D74"/>
        </w:rPr>
        <w:t xml:space="preserve"> </w:t>
      </w:r>
    </w:p>
    <w:p w14:paraId="118BA2C0"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EF54A6"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8F4749"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FAE9355"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7571F95"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639323" w14:textId="77777777" w:rsidR="00066981" w:rsidRDefault="00066981" w:rsidP="000669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894E00" w14:textId="77777777" w:rsidR="00066981" w:rsidRDefault="00066981" w:rsidP="00C1568A">
      <w:pPr>
        <w:autoSpaceDE/>
        <w:autoSpaceDN/>
        <w:adjustRightInd/>
        <w:rPr>
          <w:rFonts w:asciiTheme="minorHAnsi" w:hAnsiTheme="minorHAnsi" w:cs="Times New Roman"/>
          <w:b/>
          <w:u w:val="single"/>
        </w:rPr>
      </w:pPr>
    </w:p>
    <w:p w14:paraId="26941AA0" w14:textId="254AF861" w:rsidR="00D97E2A" w:rsidRPr="00066981" w:rsidRDefault="001B3582" w:rsidP="00066981">
      <w:pPr>
        <w:pStyle w:val="SectHead"/>
        <w:rPr>
          <w:szCs w:val="24"/>
        </w:rPr>
      </w:pPr>
      <w:r w:rsidRPr="006C43BC">
        <w:t>R</w:t>
      </w:r>
      <w:r w:rsidR="00066981">
        <w:t>3</w:t>
      </w:r>
      <w:r w:rsidRPr="006C43BC">
        <w:t xml:space="preserve"> Supporting Evidence and Documentation</w:t>
      </w:r>
    </w:p>
    <w:p w14:paraId="6253CEAC" w14:textId="51D1FB2F" w:rsidR="001B411F" w:rsidRPr="001B411F" w:rsidRDefault="004752ED" w:rsidP="001B411F">
      <w:pPr>
        <w:pStyle w:val="Requirement"/>
        <w:tabs>
          <w:tab w:val="clear" w:pos="-144"/>
          <w:tab w:val="num" w:pos="0"/>
        </w:tabs>
        <w:ind w:left="0" w:firstLine="0"/>
        <w:rPr>
          <w:rFonts w:asciiTheme="minorHAnsi" w:hAnsiTheme="minorHAnsi"/>
        </w:rPr>
      </w:pPr>
      <w:r>
        <w:rPr>
          <w:rFonts w:asciiTheme="minorHAnsi" w:hAnsiTheme="minorHAnsi"/>
        </w:rPr>
        <w:t xml:space="preserve"> </w:t>
      </w:r>
      <w:r w:rsidR="001B411F" w:rsidRPr="001B411F">
        <w:rPr>
          <w:rFonts w:asciiTheme="minorHAnsi" w:hAnsiTheme="minorHAnsi"/>
        </w:rPr>
        <w:t>Each Sink Balancing Authority shall ensure that a Request for Interchange is submitted reflecting that Interchange Schedule within 60 minutes of the start of the scheduled Interchange</w:t>
      </w:r>
      <w:r w:rsidR="001B411F" w:rsidRPr="001B411F">
        <w:rPr>
          <w:rFonts w:asciiTheme="minorHAnsi" w:hAnsiTheme="minorHAnsi"/>
          <w:noProof/>
        </w:rPr>
        <w:t xml:space="preserve"> if a </w:t>
      </w:r>
      <w:r w:rsidR="001B411F" w:rsidRPr="001B411F">
        <w:rPr>
          <w:rFonts w:asciiTheme="minorHAnsi" w:hAnsiTheme="minorHAnsi"/>
        </w:rPr>
        <w:t xml:space="preserve">Reliability Coordinator directs the scheduling of Interchange for actual or anticipated reliability-related reasons.  </w:t>
      </w:r>
    </w:p>
    <w:p w14:paraId="442C998A" w14:textId="7F9E2871" w:rsidR="001B411F" w:rsidRPr="001B411F" w:rsidRDefault="004752ED" w:rsidP="001B411F">
      <w:pPr>
        <w:pStyle w:val="Measure"/>
        <w:tabs>
          <w:tab w:val="clear" w:pos="936"/>
          <w:tab w:val="left" w:pos="0"/>
        </w:tabs>
        <w:ind w:left="0" w:firstLine="0"/>
        <w:rPr>
          <w:rFonts w:asciiTheme="minorHAnsi" w:hAnsiTheme="minorHAnsi"/>
        </w:rPr>
      </w:pPr>
      <w:r>
        <w:rPr>
          <w:rFonts w:asciiTheme="minorHAnsi" w:hAnsiTheme="minorHAnsi"/>
        </w:rPr>
        <w:t xml:space="preserve"> </w:t>
      </w:r>
      <w:r w:rsidR="001B411F" w:rsidRPr="001B411F">
        <w:rPr>
          <w:rFonts w:asciiTheme="minorHAnsi" w:hAnsiTheme="minorHAnsi"/>
        </w:rPr>
        <w:t xml:space="preserve">The Sink Balancing Authority shall have evidence </w:t>
      </w:r>
      <w:r w:rsidR="001B411F" w:rsidRPr="001B411F">
        <w:rPr>
          <w:rFonts w:asciiTheme="minorHAnsi" w:hAnsiTheme="minorHAnsi"/>
          <w:szCs w:val="22"/>
        </w:rPr>
        <w:t>such as dated and time-stamped electronic logs</w:t>
      </w:r>
      <w:r w:rsidR="001B411F" w:rsidRPr="001B411F">
        <w:rPr>
          <w:rFonts w:asciiTheme="minorHAnsi" w:hAnsiTheme="minorHAnsi"/>
        </w:rPr>
        <w:t xml:space="preserve"> or other evidence</w:t>
      </w:r>
      <w:r w:rsidR="001B411F" w:rsidRPr="001B411F">
        <w:rPr>
          <w:rFonts w:asciiTheme="minorHAnsi" w:hAnsiTheme="minorHAnsi"/>
          <w:szCs w:val="22"/>
        </w:rPr>
        <w:t xml:space="preserve"> </w:t>
      </w:r>
      <w:r w:rsidR="001B411F" w:rsidRPr="001B411F">
        <w:rPr>
          <w:rFonts w:asciiTheme="minorHAnsi" w:hAnsiTheme="minorHAnsi"/>
        </w:rPr>
        <w:t>that a Request for Interchange was submitted reflecting that Interchange Schedule within 60 minutes of the start of any scheduled Interchange that was directed by a Reliability Coordinator for actual or anticipated reliability-related reasons. (R3)</w:t>
      </w:r>
    </w:p>
    <w:p w14:paraId="0505B74C" w14:textId="77777777" w:rsidR="00056282" w:rsidRPr="006C43BC" w:rsidRDefault="00056282" w:rsidP="00056282">
      <w:pPr>
        <w:rPr>
          <w:rFonts w:asciiTheme="minorHAnsi" w:hAnsiTheme="minorHAnsi" w:cs="Times New Roman"/>
          <w:b/>
        </w:rPr>
      </w:pPr>
    </w:p>
    <w:p w14:paraId="10BD3846" w14:textId="77777777" w:rsidR="007C461A" w:rsidRDefault="007C461A" w:rsidP="007C461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62496EB" w14:textId="31E3542D" w:rsidR="007C461A" w:rsidRDefault="007C461A" w:rsidP="007C461A">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Was entity directed by a Reliability </w:t>
      </w:r>
      <w:r w:rsidR="003D056C">
        <w:rPr>
          <w:rFonts w:asciiTheme="minorHAnsi" w:hAnsiTheme="minorHAnsi" w:cs="Times New Roman"/>
        </w:rPr>
        <w:t>Coordinator to</w:t>
      </w:r>
      <w:r>
        <w:rPr>
          <w:rFonts w:asciiTheme="minorHAnsi" w:hAnsiTheme="minorHAnsi" w:cs="Times New Roman"/>
        </w:rPr>
        <w:t xml:space="preserve"> </w:t>
      </w:r>
      <w:r w:rsidR="003D056C">
        <w:rPr>
          <w:rFonts w:asciiTheme="minorHAnsi" w:hAnsiTheme="minorHAnsi" w:cs="Times New Roman"/>
        </w:rPr>
        <w:t>direct</w:t>
      </w:r>
      <w:r>
        <w:rPr>
          <w:rFonts w:asciiTheme="minorHAnsi" w:hAnsiTheme="minorHAnsi" w:cs="Times New Roman"/>
        </w:rPr>
        <w:t xml:space="preserve"> the scheduling o</w:t>
      </w:r>
      <w:r w:rsidR="00953CE9">
        <w:rPr>
          <w:rFonts w:asciiTheme="minorHAnsi" w:hAnsiTheme="minorHAnsi" w:cs="Times New Roman"/>
        </w:rPr>
        <w:t>f</w:t>
      </w:r>
      <w:r>
        <w:rPr>
          <w:rFonts w:asciiTheme="minorHAnsi" w:hAnsiTheme="minorHAnsi" w:cs="Times New Roman"/>
        </w:rPr>
        <w:t xml:space="preserve"> </w:t>
      </w:r>
      <w:r w:rsidR="003D056C">
        <w:rPr>
          <w:rFonts w:asciiTheme="minorHAnsi" w:hAnsiTheme="minorHAnsi" w:cs="Times New Roman"/>
        </w:rPr>
        <w:t>Interchange</w:t>
      </w:r>
      <w:r>
        <w:rPr>
          <w:rFonts w:asciiTheme="minorHAnsi" w:hAnsiTheme="minorHAnsi" w:cs="Times New Roman"/>
        </w:rPr>
        <w:t xml:space="preserve"> (per Requirement R1) during the compliance monitoring period</w:t>
      </w:r>
      <w:r w:rsidRPr="00356DFB">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15915038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4015915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4BE85C6" w14:textId="77777777" w:rsidR="007C461A" w:rsidRDefault="007C461A" w:rsidP="007C461A">
      <w:pPr>
        <w:rPr>
          <w:rFonts w:asciiTheme="minorHAnsi" w:hAnsiTheme="minorHAnsi" w:cs="Times New Roman"/>
        </w:rPr>
      </w:pPr>
      <w:r>
        <w:rPr>
          <w:rFonts w:asciiTheme="minorHAnsi" w:hAnsiTheme="minorHAnsi" w:cs="Times New Roman"/>
        </w:rPr>
        <w:t>If yes, proceed to Evidence Requested section below.</w:t>
      </w:r>
    </w:p>
    <w:p w14:paraId="1C1EAC96" w14:textId="7DE06D38" w:rsidR="007C461A" w:rsidRDefault="007C461A" w:rsidP="007C461A">
      <w:pPr>
        <w:rPr>
          <w:rFonts w:asciiTheme="minorHAnsi" w:hAnsiTheme="minorHAnsi" w:cs="Times New Roman"/>
        </w:rPr>
      </w:pPr>
      <w:r>
        <w:rPr>
          <w:rFonts w:asciiTheme="minorHAnsi" w:hAnsiTheme="minorHAnsi" w:cs="Times New Roman"/>
        </w:rPr>
        <w:t>If no, Requirement R3 is not applicable.</w:t>
      </w:r>
    </w:p>
    <w:p w14:paraId="5FCFBE0C" w14:textId="77777777" w:rsidR="007C461A" w:rsidRPr="00557049" w:rsidRDefault="007C461A" w:rsidP="007C461A">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FBABE1B" w14:textId="77777777" w:rsidR="007C461A" w:rsidRPr="00705BB3" w:rsidRDefault="007C461A" w:rsidP="007C461A">
      <w:pPr>
        <w:widowControl w:val="0"/>
        <w:shd w:val="clear" w:color="auto" w:fill="CDFFCD"/>
        <w:jc w:val="both"/>
        <w:rPr>
          <w:rFonts w:asciiTheme="minorHAnsi" w:hAnsiTheme="minorHAnsi" w:cs="Times New Roman"/>
          <w:bCs/>
          <w:color w:val="auto"/>
          <w:sz w:val="22"/>
          <w:szCs w:val="22"/>
        </w:rPr>
      </w:pPr>
    </w:p>
    <w:p w14:paraId="7A1BF349" w14:textId="77777777" w:rsidR="007C461A" w:rsidRPr="00705BB3" w:rsidRDefault="007C461A" w:rsidP="007C461A">
      <w:pPr>
        <w:widowControl w:val="0"/>
        <w:shd w:val="clear" w:color="auto" w:fill="CDFFCD"/>
        <w:jc w:val="both"/>
        <w:rPr>
          <w:rFonts w:asciiTheme="minorHAnsi" w:hAnsiTheme="minorHAnsi" w:cs="Times New Roman"/>
          <w:bCs/>
          <w:color w:val="auto"/>
          <w:sz w:val="22"/>
          <w:szCs w:val="22"/>
        </w:rPr>
      </w:pPr>
    </w:p>
    <w:p w14:paraId="05C69C7E" w14:textId="77777777" w:rsidR="007C461A" w:rsidRDefault="007C461A" w:rsidP="00056282">
      <w:pPr>
        <w:widowControl w:val="0"/>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50048D32" w:rsidR="00056282" w:rsidRPr="006C43BC" w:rsidRDefault="00056282" w:rsidP="00056282">
      <w:pPr>
        <w:pStyle w:val="RqtSection"/>
        <w:rPr>
          <w:rFonts w:cstheme="minorHAnsi"/>
          <w:i/>
          <w:iCs/>
        </w:rPr>
      </w:pPr>
      <w:r>
        <w:t xml:space="preserve">Evidence </w:t>
      </w:r>
      <w:r w:rsidR="00453E57">
        <w:t>Requested</w:t>
      </w:r>
      <w:r w:rsidRPr="006C43BC">
        <w:t>:</w:t>
      </w:r>
    </w:p>
    <w:tbl>
      <w:tblPr>
        <w:tblStyle w:val="TableGrid"/>
        <w:tblW w:w="0" w:type="auto"/>
        <w:shd w:val="clear" w:color="auto" w:fill="DCDCFF"/>
        <w:tblLook w:val="04A0" w:firstRow="1" w:lastRow="0" w:firstColumn="1" w:lastColumn="0" w:noHBand="0" w:noVBand="1"/>
      </w:tblPr>
      <w:tblGrid>
        <w:gridCol w:w="10790"/>
      </w:tblGrid>
      <w:tr w:rsidR="00056282" w:rsidRPr="006C43BC" w14:paraId="6CC1B49E" w14:textId="77777777" w:rsidTr="00A25259">
        <w:tc>
          <w:tcPr>
            <w:tcW w:w="10790" w:type="dxa"/>
            <w:shd w:val="clear" w:color="auto" w:fill="DCDCFF"/>
          </w:tcPr>
          <w:p w14:paraId="28E4CE0E" w14:textId="77777777" w:rsidR="00056282" w:rsidRPr="00705BB3" w:rsidRDefault="00056282"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25259" w:rsidRPr="00676D1E" w14:paraId="27059499" w14:textId="77777777" w:rsidTr="00A25259">
        <w:tc>
          <w:tcPr>
            <w:tcW w:w="10790" w:type="dxa"/>
            <w:shd w:val="clear" w:color="auto" w:fill="DCDCFF"/>
          </w:tcPr>
          <w:p w14:paraId="45CB659A" w14:textId="4C73CF11" w:rsidR="00A25259" w:rsidRDefault="007C461A" w:rsidP="00EE2461">
            <w:pPr>
              <w:widowControl w:val="0"/>
              <w:jc w:val="both"/>
              <w:rPr>
                <w:rFonts w:asciiTheme="minorHAnsi" w:hAnsiTheme="minorHAnsi" w:cs="Times New Roman"/>
                <w:color w:val="auto"/>
              </w:rPr>
            </w:pPr>
            <w:r>
              <w:rPr>
                <w:rFonts w:asciiTheme="minorHAnsi" w:hAnsiTheme="minorHAnsi" w:cs="Times New Roman"/>
                <w:color w:val="auto"/>
              </w:rPr>
              <w:t>A list of instances where the entity was directed by a Reliability Coordinator</w:t>
            </w:r>
            <w:r w:rsidR="00D24275">
              <w:rPr>
                <w:rFonts w:asciiTheme="minorHAnsi" w:hAnsiTheme="minorHAnsi" w:cs="Times New Roman"/>
                <w:color w:val="auto"/>
              </w:rPr>
              <w:t xml:space="preserve"> to schedule Interchange (per Requirement R1)</w:t>
            </w:r>
          </w:p>
        </w:tc>
      </w:tr>
      <w:tr w:rsidR="00056282" w:rsidRPr="00676D1E" w14:paraId="189B2FAA" w14:textId="77777777" w:rsidTr="00A25259">
        <w:tc>
          <w:tcPr>
            <w:tcW w:w="10790" w:type="dxa"/>
            <w:shd w:val="clear" w:color="auto" w:fill="DCDCFF"/>
          </w:tcPr>
          <w:p w14:paraId="5E3B00D1" w14:textId="484CC9EA" w:rsidR="00056282" w:rsidRDefault="00D24275" w:rsidP="00D24275">
            <w:pPr>
              <w:widowControl w:val="0"/>
              <w:jc w:val="both"/>
              <w:rPr>
                <w:rFonts w:asciiTheme="minorHAnsi" w:hAnsiTheme="minorHAnsi" w:cs="Times New Roman"/>
                <w:color w:val="auto"/>
              </w:rPr>
            </w:pPr>
            <w:r>
              <w:rPr>
                <w:rFonts w:asciiTheme="minorHAnsi" w:hAnsiTheme="minorHAnsi" w:cs="Times New Roman"/>
                <w:color w:val="auto"/>
              </w:rPr>
              <w:t xml:space="preserve">Dated and time-stamped electronic logs or other evidence of both the direction from a Reliability Coordinator to schedule Interchange and the entity’s submission of the Request for Interchange within 60 minutes of such direction (Per Requirement R1) </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EE2461">
        <w:tc>
          <w:tcPr>
            <w:tcW w:w="10995" w:type="dxa"/>
            <w:gridSpan w:val="6"/>
            <w:shd w:val="clear" w:color="auto" w:fill="DCDCFF"/>
            <w:vAlign w:val="bottom"/>
          </w:tcPr>
          <w:p w14:paraId="7B917377" w14:textId="59A98CE1" w:rsidR="00056282" w:rsidRPr="00812336" w:rsidRDefault="00056282" w:rsidP="00A247FB">
            <w:pPr>
              <w:tabs>
                <w:tab w:val="left" w:pos="0"/>
              </w:tabs>
              <w:autoSpaceDE/>
              <w:autoSpaceDN/>
              <w:adjustRightInd/>
              <w:rPr>
                <w:rFonts w:asciiTheme="minorHAnsi" w:hAnsiTheme="minorHAnsi" w:cs="Times New Roman"/>
                <w:b/>
                <w:bCs/>
              </w:rPr>
            </w:pPr>
            <w:r>
              <w:rPr>
                <w:rFonts w:asciiTheme="minorHAnsi" w:hAnsiTheme="minorHAnsi" w:cs="Times New Roman"/>
                <w:b/>
                <w:bCs/>
              </w:rPr>
              <w:t>The following information is requested for each document submitted as evidence.</w:t>
            </w:r>
            <w:r w:rsidR="000C674E">
              <w:rPr>
                <w:rFonts w:asciiTheme="minorHAnsi" w:hAnsiTheme="minorHAnsi" w:cs="Times New Roman"/>
                <w:b/>
                <w:bCs/>
              </w:rPr>
              <w:t xml:space="preserve"> </w:t>
            </w:r>
            <w:r>
              <w:rPr>
                <w:rFonts w:asciiTheme="minorHAnsi" w:hAnsiTheme="minorHAnsi" w:cs="Times New Roman"/>
                <w:b/>
                <w:bCs/>
              </w:rPr>
              <w:t xml:space="preserve"> </w:t>
            </w:r>
            <w:r w:rsidR="00A247FB">
              <w:rPr>
                <w:rFonts w:asciiTheme="minorHAnsi" w:hAnsiTheme="minorHAnsi" w:cs="Times New Roman"/>
                <w:b/>
                <w:bCs/>
              </w:rPr>
              <w:t>E</w:t>
            </w:r>
            <w:r w:rsidR="00A247FB" w:rsidRPr="00812336">
              <w:rPr>
                <w:rFonts w:asciiTheme="minorHAnsi" w:hAnsiTheme="minorHAnsi" w:cs="Times New Roman"/>
                <w:b/>
                <w:bCs/>
              </w:rPr>
              <w:t xml:space="preserve">vidence </w:t>
            </w:r>
            <w:r w:rsidRPr="00812336">
              <w:rPr>
                <w:rFonts w:asciiTheme="minorHAnsi" w:hAnsiTheme="minorHAnsi" w:cs="Times New Roman"/>
                <w:b/>
                <w:bCs/>
              </w:rPr>
              <w:t>submitted should be highlighted and bookmarked, as appropriate, to identify the exact location where evidence of compliance may be found.</w:t>
            </w:r>
          </w:p>
        </w:tc>
      </w:tr>
      <w:tr w:rsidR="00056282" w:rsidRPr="00812336" w14:paraId="1EE655E0" w14:textId="77777777" w:rsidTr="00EE2461">
        <w:tc>
          <w:tcPr>
            <w:tcW w:w="2340" w:type="dxa"/>
            <w:shd w:val="clear" w:color="auto" w:fill="DCDCFF"/>
            <w:vAlign w:val="bottom"/>
          </w:tcPr>
          <w:p w14:paraId="3DC9B77B"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EE2461">
        <w:tc>
          <w:tcPr>
            <w:tcW w:w="2340" w:type="dxa"/>
            <w:shd w:val="clear" w:color="auto" w:fill="CDFFCD"/>
          </w:tcPr>
          <w:p w14:paraId="0579240E"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r w:rsidR="00056282" w:rsidRPr="00705BB3" w14:paraId="694D6B0D" w14:textId="77777777" w:rsidTr="00EE2461">
        <w:tc>
          <w:tcPr>
            <w:tcW w:w="2340" w:type="dxa"/>
            <w:shd w:val="clear" w:color="auto" w:fill="CDFFCD"/>
          </w:tcPr>
          <w:p w14:paraId="7D165821"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r w:rsidR="00056282" w:rsidRPr="00705BB3" w14:paraId="781B6E51" w14:textId="77777777" w:rsidTr="00EE2461">
        <w:tc>
          <w:tcPr>
            <w:tcW w:w="2340" w:type="dxa"/>
            <w:shd w:val="clear" w:color="auto" w:fill="CDFFCD"/>
          </w:tcPr>
          <w:p w14:paraId="5A10B587"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EE2461">
        <w:tc>
          <w:tcPr>
            <w:tcW w:w="11016" w:type="dxa"/>
            <w:shd w:val="clear" w:color="auto" w:fill="auto"/>
          </w:tcPr>
          <w:p w14:paraId="52EADB3D" w14:textId="77777777" w:rsidR="00056282" w:rsidRPr="00705BB3" w:rsidRDefault="00056282" w:rsidP="00EE2461">
            <w:pPr>
              <w:widowControl w:val="0"/>
              <w:rPr>
                <w:rFonts w:asciiTheme="minorHAnsi" w:hAnsiTheme="minorHAnsi" w:cs="Times New Roman"/>
                <w:sz w:val="22"/>
                <w:szCs w:val="22"/>
              </w:rPr>
            </w:pPr>
          </w:p>
        </w:tc>
      </w:tr>
      <w:tr w:rsidR="00056282" w:rsidRPr="00705BB3" w14:paraId="1237F754" w14:textId="77777777" w:rsidTr="00EE2461">
        <w:tc>
          <w:tcPr>
            <w:tcW w:w="11016" w:type="dxa"/>
            <w:shd w:val="clear" w:color="auto" w:fill="auto"/>
          </w:tcPr>
          <w:p w14:paraId="1C5F61CF" w14:textId="77777777" w:rsidR="00056282" w:rsidRPr="00705BB3" w:rsidRDefault="00056282" w:rsidP="00EE2461">
            <w:pPr>
              <w:widowControl w:val="0"/>
              <w:rPr>
                <w:rFonts w:asciiTheme="minorHAnsi" w:hAnsiTheme="minorHAnsi" w:cs="Times New Roman"/>
                <w:sz w:val="22"/>
                <w:szCs w:val="22"/>
              </w:rPr>
            </w:pPr>
          </w:p>
        </w:tc>
      </w:tr>
      <w:tr w:rsidR="00056282" w:rsidRPr="00705BB3" w14:paraId="1B45444E" w14:textId="77777777" w:rsidTr="00EE2461">
        <w:tc>
          <w:tcPr>
            <w:tcW w:w="11016" w:type="dxa"/>
            <w:shd w:val="clear" w:color="auto" w:fill="auto"/>
          </w:tcPr>
          <w:p w14:paraId="0817FCAE" w14:textId="77777777" w:rsidR="00056282" w:rsidRPr="00705BB3" w:rsidRDefault="00056282" w:rsidP="00EE2461">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627825E3"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rsidR="001B411F">
        <w:t xml:space="preserve"> </w:t>
      </w:r>
      <w:r w:rsidR="00E6575F">
        <w:t>INT-010-2.1</w:t>
      </w:r>
      <w:r w:rsidR="00066981">
        <w:t>, R3</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A25259">
        <w:tc>
          <w:tcPr>
            <w:tcW w:w="374" w:type="dxa"/>
          </w:tcPr>
          <w:p w14:paraId="25ABDE5F" w14:textId="77777777" w:rsidR="00056282" w:rsidRPr="00A25259" w:rsidRDefault="00056282"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0B7DA6C6" w:rsidR="00056282" w:rsidRPr="00A25259" w:rsidRDefault="00D24275"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 For all ,or a sample of, instances where entity was directed by a Reliability Coordinator to schedule Interchange, review evidence and verify that entity submitted a Request for Interchange within 60 minutes of such direction (per Requirement R1).</w:t>
            </w:r>
          </w:p>
        </w:tc>
      </w:tr>
      <w:tr w:rsidR="00056282" w:rsidRPr="006C43BC" w14:paraId="6E9EB898" w14:textId="77777777" w:rsidTr="00A25259">
        <w:tc>
          <w:tcPr>
            <w:tcW w:w="10790" w:type="dxa"/>
            <w:gridSpan w:val="2"/>
            <w:shd w:val="clear" w:color="auto" w:fill="DCDCFF"/>
          </w:tcPr>
          <w:p w14:paraId="3F45AA30" w14:textId="63BF67B0" w:rsidR="00056282" w:rsidRPr="006C43BC" w:rsidRDefault="00056282" w:rsidP="00A2525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840AFC8"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4A44BA6"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DF6D76D"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B34C4F"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42D105" w14:textId="3FE2DD3E" w:rsidR="000D0AEA" w:rsidRDefault="00056282" w:rsidP="000D0AE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2" w:name="_Toc330463564"/>
      <w:r w:rsidRPr="002A01BD">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3A827235" w14:textId="22265334" w:rsidR="00ED6C9C" w:rsidRPr="006C43BC" w:rsidRDefault="0003719C" w:rsidP="00CC7E3E">
      <w:pPr>
        <w:rPr>
          <w:rFonts w:asciiTheme="minorHAnsi" w:hAnsiTheme="minorHAnsi"/>
        </w:rPr>
      </w:pPr>
      <w:r>
        <w:rPr>
          <w:rFonts w:asciiTheme="minorHAnsi" w:hAnsiTheme="minorHAnsi"/>
        </w:rPr>
        <w:object w:dxaOrig="1513" w:dyaOrig="984" w14:anchorId="3352B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81161086" r:id="rId15"/>
        </w:object>
      </w:r>
    </w:p>
    <w:p w14:paraId="4D3D9DC5" w14:textId="77777777" w:rsidR="00700237" w:rsidRDefault="00700237" w:rsidP="00D97E2A">
      <w:pPr>
        <w:pStyle w:val="SubHead"/>
      </w:pPr>
      <w:bookmarkStart w:id="4" w:name="_Toc323042589"/>
      <w:bookmarkStart w:id="5" w:name="_Toc330463566"/>
      <w:bookmarkEnd w:id="3"/>
    </w:p>
    <w:p w14:paraId="39643EC2" w14:textId="1CA4B670" w:rsidR="00490283" w:rsidRPr="006C43BC" w:rsidRDefault="00490283" w:rsidP="00D97E2A">
      <w:pPr>
        <w:pStyle w:val="SubHead"/>
        <w:rPr>
          <w:i/>
        </w:rPr>
      </w:pPr>
      <w:r w:rsidRPr="006C43BC">
        <w:t>Sampling Methodology</w:t>
      </w:r>
      <w:bookmarkEnd w:id="4"/>
      <w:bookmarkEnd w:id="5"/>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55C68FE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w:t>
      </w:r>
      <w:r w:rsidR="001F5D7E">
        <w:rPr>
          <w:rFonts w:asciiTheme="minorHAnsi" w:hAnsiTheme="minorHAnsi" w:cs="Calibri"/>
        </w:rPr>
        <w:t>Reliability S</w:t>
      </w:r>
      <w:r w:rsidRPr="006C43BC">
        <w:rPr>
          <w:rFonts w:asciiTheme="minorHAnsi" w:hAnsiTheme="minorHAnsi" w:cs="Calibri"/>
        </w:rPr>
        <w:t>tandards.</w:t>
      </w:r>
      <w:r w:rsidR="00B23D38">
        <w:rPr>
          <w:rFonts w:asciiTheme="minorHAnsi" w:hAnsiTheme="minorHAnsi" w:cs="Calibri"/>
        </w:rPr>
        <w:t xml:space="preserve"> </w:t>
      </w:r>
      <w:r w:rsidRPr="006C43BC">
        <w:rPr>
          <w:rFonts w:asciiTheme="minorHAnsi" w:hAnsiTheme="minorHAnsi" w:cs="Calibri"/>
        </w:rPr>
        <w:t xml:space="preserve"> </w:t>
      </w:r>
      <w:r w:rsidR="00B23D38">
        <w:rPr>
          <w:rFonts w:asciiTheme="minorHAnsi" w:hAnsiTheme="minorHAnsi"/>
        </w:rPr>
        <w:t xml:space="preserve">The </w:t>
      </w:r>
      <w:r w:rsidR="007E0126" w:rsidRPr="00EC73F1">
        <w:rPr>
          <w:rFonts w:asciiTheme="minorHAnsi" w:hAnsiTheme="minorHAnsi" w:cs="Times New Roman"/>
        </w:rPr>
        <w:t>Sampling Methodology Guidelines and Criteria</w:t>
      </w:r>
      <w:r w:rsidR="000C674E">
        <w:rPr>
          <w:rFonts w:asciiTheme="minorHAnsi" w:hAnsiTheme="minorHAnsi" w:cs="Times New Roman"/>
        </w:rPr>
        <w:t xml:space="preserve"> document</w:t>
      </w:r>
      <w:r w:rsidRPr="006C43BC">
        <w:rPr>
          <w:rFonts w:asciiTheme="minorHAnsi" w:hAnsiTheme="minorHAnsi"/>
        </w:rPr>
        <w:t>, provided by</w:t>
      </w:r>
      <w:r w:rsidR="004752ED">
        <w:rPr>
          <w:rFonts w:asciiTheme="minorHAnsi" w:hAnsiTheme="minorHAnsi"/>
        </w:rPr>
        <w:t xml:space="preserve"> NERC</w:t>
      </w:r>
      <w:r w:rsidRPr="006C43BC">
        <w:rPr>
          <w:rFonts w:asciiTheme="minorHAnsi" w:hAnsiTheme="minorHAnsi"/>
        </w:rPr>
        <w:t xml:space="preserve"> establish</w:t>
      </w:r>
      <w:r w:rsidR="000C674E">
        <w:rPr>
          <w:rFonts w:asciiTheme="minorHAnsi" w:hAnsiTheme="minorHAnsi"/>
        </w:rPr>
        <w:t>es</w:t>
      </w:r>
      <w:r w:rsidRPr="006C43BC">
        <w:rPr>
          <w:rFonts w:asciiTheme="minorHAnsi" w:hAnsiTheme="minorHAnsi"/>
        </w:rPr>
        <w:t xml:space="preserve"> a minimum </w:t>
      </w:r>
      <w:r w:rsidR="00B23D38">
        <w:rPr>
          <w:rFonts w:asciiTheme="minorHAnsi" w:hAnsiTheme="minorHAnsi"/>
        </w:rPr>
        <w:t xml:space="preserve">set of guidelines for selecting a </w:t>
      </w:r>
      <w:r w:rsidRPr="006C43BC">
        <w:rPr>
          <w:rFonts w:asciiTheme="minorHAnsi" w:hAnsiTheme="minorHAnsi"/>
        </w:rPr>
        <w:t xml:space="preserve">sample set </w:t>
      </w:r>
      <w:r w:rsidR="000C674E">
        <w:rPr>
          <w:rFonts w:asciiTheme="minorHAnsi" w:hAnsiTheme="minorHAnsi"/>
        </w:rPr>
        <w:t xml:space="preserve">of </w:t>
      </w:r>
      <w:r w:rsidR="004752ED">
        <w:rPr>
          <w:rFonts w:asciiTheme="minorHAnsi" w:hAnsiTheme="minorHAnsi"/>
        </w:rPr>
        <w:t xml:space="preserve">equipment or </w:t>
      </w:r>
      <w:r w:rsidR="000C674E">
        <w:rPr>
          <w:rFonts w:asciiTheme="minorHAnsi" w:hAnsiTheme="minorHAnsi"/>
        </w:rPr>
        <w:t>evidence</w:t>
      </w:r>
      <w:r w:rsidR="004752ED">
        <w:rPr>
          <w:rFonts w:asciiTheme="minorHAnsi" w:hAnsiTheme="minorHAnsi"/>
        </w:rPr>
        <w:t xml:space="preserve"> </w:t>
      </w:r>
      <w:r w:rsidRPr="006C43BC">
        <w:rPr>
          <w:rFonts w:asciiTheme="minorHAnsi" w:hAnsiTheme="minorHAnsi"/>
        </w:rPr>
        <w:t>in audits of</w:t>
      </w:r>
      <w:r w:rsidR="00700237">
        <w:rPr>
          <w:rFonts w:asciiTheme="minorHAnsi" w:hAnsiTheme="minorHAnsi"/>
        </w:rPr>
        <w:t xml:space="preserve"> </w:t>
      </w:r>
      <w:r w:rsidR="001F5D7E">
        <w:rPr>
          <w:rFonts w:asciiTheme="minorHAnsi" w:hAnsiTheme="minorHAnsi"/>
        </w:rPr>
        <w:t>registered entities</w:t>
      </w:r>
      <w:r w:rsidRPr="006C43BC">
        <w:rPr>
          <w:rFonts w:asciiTheme="minorHAnsi" w:hAnsiTheme="minorHAnsi"/>
        </w:rPr>
        <w:t xml:space="preserve">.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3D8B7BEB" w:rsidR="00CC7E3E" w:rsidRDefault="00CC7E3E" w:rsidP="00D568ED">
      <w:pPr>
        <w:pStyle w:val="SubHead"/>
      </w:pPr>
      <w:r w:rsidRPr="006C43BC">
        <w:t xml:space="preserve">Regulatory </w:t>
      </w:r>
      <w:r w:rsidR="006D2DD3">
        <w:t>References</w:t>
      </w:r>
    </w:p>
    <w:p w14:paraId="2D70DB9F" w14:textId="77777777" w:rsidR="00D607B1" w:rsidRDefault="00D607B1" w:rsidP="00D568ED">
      <w:pPr>
        <w:pStyle w:val="SubHead"/>
      </w:pPr>
    </w:p>
    <w:p w14:paraId="4F262EBB" w14:textId="77777777" w:rsidR="00351873" w:rsidRDefault="00351873" w:rsidP="00D568ED">
      <w:pPr>
        <w:pStyle w:val="SubHead"/>
        <w:rPr>
          <w:u w:val="none"/>
        </w:rPr>
      </w:pPr>
      <w:r>
        <w:rPr>
          <w:u w:val="none"/>
        </w:rPr>
        <w:t>FERC Orders</w:t>
      </w:r>
    </w:p>
    <w:p w14:paraId="583450A5" w14:textId="77777777" w:rsidR="00D568ED" w:rsidRDefault="00D568ED" w:rsidP="00D568ED">
      <w:pPr>
        <w:pStyle w:val="SubHead"/>
        <w:rPr>
          <w:u w:val="none"/>
        </w:rPr>
      </w:pPr>
    </w:p>
    <w:p w14:paraId="0B8CAC34" w14:textId="77777777" w:rsidR="00F264DF" w:rsidRDefault="00162065" w:rsidP="00227076">
      <w:pPr>
        <w:pStyle w:val="SubHead"/>
        <w:rPr>
          <w:u w:val="none"/>
        </w:rPr>
      </w:pPr>
      <w:r>
        <w:rPr>
          <w:u w:val="none"/>
        </w:rPr>
        <w:t>Letter Order</w:t>
      </w:r>
      <w:r w:rsidR="00227076">
        <w:rPr>
          <w:u w:val="none"/>
        </w:rPr>
        <w:t xml:space="preserve"> </w:t>
      </w:r>
    </w:p>
    <w:p w14:paraId="3C2B7FC5" w14:textId="77777777" w:rsidR="00F264DF" w:rsidRDefault="00F264DF" w:rsidP="00227076">
      <w:pPr>
        <w:pStyle w:val="SubHead"/>
        <w:rPr>
          <w:u w:val="none"/>
        </w:rPr>
      </w:pPr>
    </w:p>
    <w:p w14:paraId="7F6F1081" w14:textId="2EB6F6EC" w:rsidR="00D568ED" w:rsidRPr="00227076" w:rsidRDefault="001F5D7E" w:rsidP="00227076">
      <w:pPr>
        <w:pStyle w:val="SubHead"/>
        <w:rPr>
          <w:b w:val="0"/>
        </w:rPr>
      </w:pPr>
      <w:r w:rsidRPr="00033AFB">
        <w:t xml:space="preserve">FERC </w:t>
      </w:r>
      <w:r w:rsidR="00AE7EE8" w:rsidRPr="00AE7EE8">
        <w:t xml:space="preserve">June 30, 2014 </w:t>
      </w:r>
      <w:r w:rsidRPr="00033AFB">
        <w:t>Order approving Reliability Standards for Interchange Scheduling and Coordination</w:t>
      </w:r>
      <w:r w:rsidR="00C90B3D">
        <w:t xml:space="preserve">, including </w:t>
      </w:r>
      <w:r w:rsidR="00C90B3D" w:rsidRPr="00C90B3D">
        <w:t>INT-010-2</w:t>
      </w:r>
      <w:r w:rsidR="00033AFB">
        <w:t>:</w:t>
      </w:r>
      <w:r w:rsidR="00227076">
        <w:rPr>
          <w:b w:val="0"/>
        </w:rPr>
        <w:t xml:space="preserve">  </w:t>
      </w:r>
      <w:r w:rsidR="00D568ED" w:rsidRPr="00227076">
        <w:rPr>
          <w:b w:val="0"/>
        </w:rPr>
        <w:t xml:space="preserve">North American Electric Reliability Corp.., Docket No. RD14-4-000 (June 30, 2014) (letter order).  </w:t>
      </w:r>
    </w:p>
    <w:p w14:paraId="31B03DB2" w14:textId="77777777" w:rsidR="00227076" w:rsidRDefault="00227076" w:rsidP="00D568ED">
      <w:pPr>
        <w:pStyle w:val="PlainText"/>
      </w:pPr>
    </w:p>
    <w:p w14:paraId="62D922BE" w14:textId="77777777" w:rsidR="00D568ED" w:rsidRPr="00E76EE9" w:rsidRDefault="00B13C52" w:rsidP="00D568ED">
      <w:pPr>
        <w:pStyle w:val="PlainText"/>
        <w:rPr>
          <w:rFonts w:asciiTheme="minorHAnsi" w:hAnsiTheme="minorHAnsi"/>
          <w:sz w:val="24"/>
          <w:szCs w:val="24"/>
        </w:rPr>
      </w:pPr>
      <w:hyperlink r:id="rId16" w:history="1">
        <w:r w:rsidR="00D568ED" w:rsidRPr="00E76EE9">
          <w:rPr>
            <w:rStyle w:val="Hyperlink"/>
            <w:rFonts w:asciiTheme="minorHAnsi" w:hAnsiTheme="minorHAnsi"/>
            <w:sz w:val="24"/>
            <w:szCs w:val="24"/>
          </w:rPr>
          <w:t>http://www.nerc.com/FilingsOrders/us/FERCOrdersRules/INT%20Letter%20Order.pdf</w:t>
        </w:r>
      </w:hyperlink>
    </w:p>
    <w:p w14:paraId="513BB100" w14:textId="77777777" w:rsidR="00227076" w:rsidRDefault="00227076" w:rsidP="00D568ED">
      <w:pPr>
        <w:pStyle w:val="SubHead"/>
        <w:ind w:left="990" w:hanging="990"/>
        <w:rPr>
          <w:b w:val="0"/>
          <w:u w:val="none"/>
        </w:rPr>
      </w:pPr>
    </w:p>
    <w:p w14:paraId="1D21D1AF" w14:textId="42DB1918" w:rsidR="00D568ED" w:rsidRDefault="00D568ED" w:rsidP="00D568ED">
      <w:pPr>
        <w:pStyle w:val="SubHead"/>
        <w:ind w:left="990" w:hanging="990"/>
        <w:rPr>
          <w:b w:val="0"/>
          <w:u w:val="none"/>
        </w:rPr>
      </w:pPr>
      <w:r w:rsidRPr="00D568ED">
        <w:rPr>
          <w:b w:val="0"/>
          <w:u w:val="none"/>
        </w:rPr>
        <w:t>Page 2.</w:t>
      </w:r>
      <w:r w:rsidRPr="00D568ED">
        <w:rPr>
          <w:b w:val="0"/>
          <w:u w:val="none"/>
        </w:rPr>
        <w:tab/>
      </w:r>
      <w:r w:rsidR="002C1DF0">
        <w:rPr>
          <w:b w:val="0"/>
          <w:u w:val="none"/>
        </w:rPr>
        <w:t>FERC</w:t>
      </w:r>
      <w:r w:rsidRPr="00D568ED">
        <w:rPr>
          <w:b w:val="0"/>
          <w:u w:val="none"/>
        </w:rPr>
        <w:t xml:space="preserve"> approved “</w:t>
      </w:r>
      <w:r>
        <w:rPr>
          <w:b w:val="0"/>
          <w:u w:val="none"/>
        </w:rPr>
        <w:t>Reliability Standard INT-010-2</w:t>
      </w:r>
      <w:r w:rsidRPr="00D568ED">
        <w:rPr>
          <w:b w:val="0"/>
          <w:u w:val="none"/>
        </w:rPr>
        <w:t xml:space="preserve"> [which]</w:t>
      </w:r>
      <w:r>
        <w:rPr>
          <w:b w:val="0"/>
          <w:u w:val="none"/>
        </w:rPr>
        <w:t xml:space="preserve"> provides guidance for required actions on a confirmed interchange for reliability reasons.  Reliability Standard INT-010-2 provides clarity as to which entity is required to perform a reliability-related task during an interchange transaction.”</w:t>
      </w:r>
    </w:p>
    <w:p w14:paraId="6AC5268F" w14:textId="77777777" w:rsidR="00D568ED" w:rsidRDefault="00D568ED" w:rsidP="00D568ED">
      <w:pPr>
        <w:pStyle w:val="SubHead"/>
        <w:ind w:left="990" w:hanging="990"/>
        <w:rPr>
          <w:b w:val="0"/>
          <w:u w:val="none"/>
        </w:rPr>
      </w:pPr>
    </w:p>
    <w:p w14:paraId="286525AD" w14:textId="098B7D66" w:rsidR="00D568ED" w:rsidRPr="00C90B3D" w:rsidRDefault="00D568ED" w:rsidP="00D568ED">
      <w:pPr>
        <w:pStyle w:val="SubHead"/>
        <w:ind w:left="990" w:hanging="990"/>
        <w:rPr>
          <w:u w:val="none"/>
        </w:rPr>
      </w:pPr>
      <w:r w:rsidRPr="00C90B3D">
        <w:rPr>
          <w:u w:val="none"/>
        </w:rPr>
        <w:t>Order No. 693</w:t>
      </w:r>
    </w:p>
    <w:p w14:paraId="5A39DB4E" w14:textId="77777777" w:rsidR="00760F2F" w:rsidRDefault="00760F2F" w:rsidP="00D568ED">
      <w:pPr>
        <w:pStyle w:val="SubHead"/>
        <w:ind w:left="990" w:hanging="990"/>
        <w:rPr>
          <w:b w:val="0"/>
          <w:u w:val="none"/>
        </w:rPr>
      </w:pPr>
    </w:p>
    <w:p w14:paraId="271CEBA7" w14:textId="5442759C" w:rsidR="00351873" w:rsidRPr="00D568ED" w:rsidRDefault="00227076" w:rsidP="00227076">
      <w:pPr>
        <w:pStyle w:val="SubHead"/>
        <w:ind w:left="990" w:hanging="990"/>
        <w:jc w:val="both"/>
        <w:rPr>
          <w:b w:val="0"/>
          <w:u w:val="none"/>
        </w:rPr>
      </w:pPr>
      <w:r>
        <w:rPr>
          <w:b w:val="0"/>
          <w:u w:val="none"/>
        </w:rPr>
        <w:t>P 887</w:t>
      </w:r>
      <w:r w:rsidR="00760F2F">
        <w:rPr>
          <w:b w:val="0"/>
          <w:u w:val="none"/>
        </w:rPr>
        <w:t xml:space="preserve"> </w:t>
      </w:r>
      <w:r w:rsidR="00351873">
        <w:rPr>
          <w:b w:val="0"/>
          <w:u w:val="none"/>
        </w:rPr>
        <w:tab/>
      </w:r>
      <w:r w:rsidR="00D568ED">
        <w:rPr>
          <w:b w:val="0"/>
          <w:u w:val="none"/>
        </w:rPr>
        <w:tab/>
      </w:r>
      <w:r w:rsidR="00351873">
        <w:rPr>
          <w:b w:val="0"/>
          <w:u w:val="none"/>
        </w:rPr>
        <w:tab/>
      </w:r>
      <w:r w:rsidR="00351873">
        <w:rPr>
          <w:b w:val="0"/>
          <w:u w:val="none"/>
        </w:rPr>
        <w:tab/>
        <w:t xml:space="preserve">In the order approving INT-010-1, </w:t>
      </w:r>
      <w:r w:rsidR="002C1DF0">
        <w:rPr>
          <w:b w:val="0"/>
          <w:u w:val="none"/>
        </w:rPr>
        <w:t>FERC</w:t>
      </w:r>
      <w:r w:rsidR="00351873">
        <w:rPr>
          <w:b w:val="0"/>
          <w:u w:val="none"/>
        </w:rPr>
        <w:t xml:space="preserve"> stated</w:t>
      </w:r>
      <w:r>
        <w:rPr>
          <w:b w:val="0"/>
          <w:u w:val="none"/>
        </w:rPr>
        <w:t xml:space="preserve"> “</w:t>
      </w:r>
      <w:r w:rsidR="00351873">
        <w:rPr>
          <w:b w:val="0"/>
          <w:u w:val="none"/>
        </w:rPr>
        <w:t>…we adopt the interpretation set forth in the NOPR [Notice of Proposed Rulemaking] that these current or imminent reliability-related reasons do not include actual IROL[</w:t>
      </w:r>
      <w:r w:rsidR="00351873" w:rsidRPr="00700237">
        <w:rPr>
          <w:b w:val="0"/>
          <w:u w:val="none"/>
        </w:rPr>
        <w:t xml:space="preserve">Interconnection Reliability Operating Limit] </w:t>
      </w:r>
      <w:r w:rsidR="00351873">
        <w:rPr>
          <w:b w:val="0"/>
          <w:u w:val="none"/>
        </w:rPr>
        <w:t>violations, since they require immediate control actions so that the system can be returned to a secure operating state as soon as possible after a reliability-related system interruption – a period that is much shorter than the time that is expected to be required for new or modified transactions to be implemented.”</w:t>
      </w:r>
    </w:p>
    <w:p w14:paraId="0742BEF7" w14:textId="77777777" w:rsidR="00351873" w:rsidRDefault="00351873" w:rsidP="00351873">
      <w:pPr>
        <w:pStyle w:val="SubHead"/>
        <w:jc w:val="both"/>
        <w:rPr>
          <w:b w:val="0"/>
          <w:u w:val="none"/>
        </w:rPr>
      </w:pPr>
    </w:p>
    <w:p w14:paraId="1990E534" w14:textId="77777777" w:rsidR="00351873" w:rsidRDefault="00351873" w:rsidP="00351873">
      <w:pPr>
        <w:pStyle w:val="SubHead"/>
        <w:jc w:val="both"/>
        <w:rPr>
          <w:b w:val="0"/>
          <w:u w:val="none"/>
        </w:rPr>
      </w:pPr>
    </w:p>
    <w:p w14:paraId="375F6A98" w14:textId="77777777" w:rsidR="00D54CB4" w:rsidRPr="008F56D6" w:rsidRDefault="00D54CB4" w:rsidP="00700237">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EE246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EE246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EE246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EE246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EE2461">
            <w:pPr>
              <w:jc w:val="center"/>
              <w:rPr>
                <w:rFonts w:ascii="Calibri" w:hAnsi="Calibri" w:cs="Times New Roman"/>
                <w:b/>
              </w:rPr>
            </w:pPr>
            <w:r w:rsidRPr="009B28B0">
              <w:rPr>
                <w:rFonts w:ascii="Calibri" w:hAnsi="Calibri" w:cs="Times New Roman"/>
                <w:b/>
              </w:rPr>
              <w:t>Revision Description</w:t>
            </w:r>
          </w:p>
        </w:tc>
      </w:tr>
      <w:tr w:rsidR="00433E95" w:rsidRPr="009B28B0" w14:paraId="6239E1A3" w14:textId="77777777" w:rsidTr="000437E9">
        <w:tc>
          <w:tcPr>
            <w:tcW w:w="1016" w:type="dxa"/>
            <w:tcBorders>
              <w:top w:val="single" w:sz="4" w:space="0" w:color="000000"/>
              <w:left w:val="single" w:sz="4" w:space="0" w:color="000000"/>
              <w:bottom w:val="single" w:sz="4" w:space="0" w:color="000000"/>
              <w:right w:val="single" w:sz="4" w:space="0" w:color="000000"/>
            </w:tcBorders>
          </w:tcPr>
          <w:p w14:paraId="5D1FCCB9" w14:textId="32F43DB4" w:rsidR="00433E95" w:rsidRPr="009B28B0" w:rsidRDefault="00433E95" w:rsidP="00433E95">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27FDC4C7" w14:textId="33B862A1" w:rsidR="00433E95" w:rsidRPr="009B28B0" w:rsidRDefault="00433E95" w:rsidP="00433E95">
            <w:pPr>
              <w:jc w:val="center"/>
              <w:rPr>
                <w:rFonts w:ascii="Calibri" w:hAnsi="Calibri" w:cs="Times New Roman"/>
              </w:rPr>
            </w:pPr>
            <w:r>
              <w:rPr>
                <w:rFonts w:ascii="Calibri" w:hAnsi="Calibri" w:cs="Times New Roman"/>
              </w:rPr>
              <w:t>2/23/2018</w:t>
            </w:r>
          </w:p>
        </w:tc>
        <w:tc>
          <w:tcPr>
            <w:tcW w:w="2520" w:type="dxa"/>
            <w:tcBorders>
              <w:top w:val="single" w:sz="4" w:space="0" w:color="000000"/>
              <w:left w:val="single" w:sz="4" w:space="0" w:color="000000"/>
              <w:bottom w:val="single" w:sz="4" w:space="0" w:color="000000"/>
              <w:right w:val="single" w:sz="4" w:space="0" w:color="000000"/>
            </w:tcBorders>
          </w:tcPr>
          <w:p w14:paraId="4D72CB87" w14:textId="4D9DF961" w:rsidR="00433E95" w:rsidRPr="009B28B0" w:rsidRDefault="00433E95" w:rsidP="00433E95">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3B71D13D" w:rsidR="00433E95" w:rsidRPr="009B28B0" w:rsidRDefault="00433E95" w:rsidP="00AF71DA">
            <w:pPr>
              <w:rPr>
                <w:rFonts w:ascii="Calibri" w:hAnsi="Calibri" w:cs="Times New Roman"/>
              </w:rPr>
            </w:pPr>
            <w:r>
              <w:rPr>
                <w:rFonts w:ascii="Calibri" w:hAnsi="Calibri" w:cs="Times New Roman"/>
              </w:rPr>
              <w:t>New Document contains a minor revision to update to INT-0</w:t>
            </w:r>
            <w:r w:rsidR="00AF71DA">
              <w:rPr>
                <w:rFonts w:ascii="Calibri" w:hAnsi="Calibri" w:cs="Times New Roman"/>
              </w:rPr>
              <w:t>1</w:t>
            </w:r>
            <w:r>
              <w:rPr>
                <w:rFonts w:ascii="Calibri" w:hAnsi="Calibri" w:cs="Times New Roman"/>
              </w:rPr>
              <w:t>0</w:t>
            </w:r>
            <w:bookmarkStart w:id="6" w:name="_GoBack"/>
            <w:bookmarkEnd w:id="6"/>
            <w:r>
              <w:rPr>
                <w:rFonts w:ascii="Calibri" w:hAnsi="Calibri" w:cs="Times New Roman"/>
              </w:rPr>
              <w:t>-2.1</w:t>
            </w:r>
          </w:p>
        </w:tc>
      </w:tr>
      <w:tr w:rsidR="002A01BD" w:rsidRPr="009B28B0" w14:paraId="1F5CB434"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EE246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EE2461">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0CE2E" w14:textId="77777777" w:rsidR="00B13C52" w:rsidRDefault="00B13C52">
      <w:r>
        <w:separator/>
      </w:r>
    </w:p>
  </w:endnote>
  <w:endnote w:type="continuationSeparator" w:id="0">
    <w:p w14:paraId="53A5EED2" w14:textId="77777777" w:rsidR="00B13C52" w:rsidRDefault="00B13C52">
      <w:r>
        <w:continuationSeparator/>
      </w:r>
    </w:p>
  </w:endnote>
  <w:endnote w:id="1">
    <w:p w14:paraId="7D0C54ED" w14:textId="77777777" w:rsidR="00EE2461" w:rsidRPr="000D0AEA" w:rsidRDefault="00EE2461">
      <w:pPr>
        <w:pStyle w:val="EndnoteText"/>
        <w:rPr>
          <w:rFonts w:asciiTheme="minorHAnsi" w:hAnsiTheme="minorHAnsi"/>
        </w:rPr>
      </w:pPr>
      <w:r w:rsidRPr="000D0AEA">
        <w:rPr>
          <w:rStyle w:val="EndnoteReference"/>
          <w:rFonts w:asciiTheme="minorHAnsi" w:hAnsiTheme="minorHAnsi"/>
        </w:rPr>
        <w:endnoteRef/>
      </w:r>
      <w:r w:rsidRPr="000D0AEA">
        <w:rPr>
          <w:rFonts w:asciiTheme="minorHAnsi" w:hAnsiTheme="minorHAnsi"/>
        </w:rPr>
        <w:t xml:space="preserve"> </w:t>
      </w:r>
      <w:r w:rsidRPr="000D0AE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7D5D8DA7" w:rsidR="00EE2461" w:rsidRPr="001D34F6" w:rsidRDefault="00EE24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E2461" w:rsidRPr="001D34F6" w:rsidRDefault="00EE24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77620597" w:rsidR="00EE2461" w:rsidRPr="008C17EB" w:rsidRDefault="00EE24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8939FC">
      <w:rPr>
        <w:rFonts w:asciiTheme="minorHAnsi" w:hAnsiTheme="minorHAnsi"/>
        <w:color w:val="0070C0"/>
        <w:sz w:val="18"/>
        <w:szCs w:val="22"/>
      </w:rPr>
      <w:t>INT-010-2</w:t>
    </w:r>
    <w:r w:rsidR="00E6575F">
      <w:rPr>
        <w:rFonts w:asciiTheme="minorHAnsi" w:hAnsiTheme="minorHAnsi"/>
        <w:color w:val="0070C0"/>
        <w:sz w:val="18"/>
        <w:szCs w:val="22"/>
      </w:rPr>
      <w:t>.1</w:t>
    </w:r>
    <w:r>
      <w:rPr>
        <w:rFonts w:asciiTheme="minorHAnsi" w:hAnsiTheme="minorHAnsi"/>
        <w:color w:val="0070C0"/>
        <w:sz w:val="18"/>
        <w:szCs w:val="22"/>
      </w:rPr>
      <w:t>_201</w:t>
    </w:r>
    <w:r w:rsidR="00433E95">
      <w:rPr>
        <w:rFonts w:asciiTheme="minorHAnsi" w:hAnsiTheme="minorHAnsi"/>
        <w:color w:val="0070C0"/>
        <w:sz w:val="18"/>
        <w:szCs w:val="22"/>
      </w:rPr>
      <w:t>8</w:t>
    </w:r>
    <w:r w:rsidRPr="00F019DB">
      <w:rPr>
        <w:rFonts w:asciiTheme="minorHAnsi" w:hAnsiTheme="minorHAnsi"/>
        <w:color w:val="0070C0"/>
        <w:sz w:val="18"/>
        <w:szCs w:val="22"/>
      </w:rPr>
      <w:t>_v</w:t>
    </w:r>
    <w:r w:rsidR="00433E95">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2C174E">
      <w:rPr>
        <w:rFonts w:asciiTheme="minorHAnsi" w:hAnsiTheme="minorHAnsi"/>
        <w:color w:val="auto"/>
        <w:sz w:val="18"/>
        <w:szCs w:val="22"/>
      </w:rPr>
      <w:t>February, 2018</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w:t>
    </w:r>
    <w:r w:rsidR="00153E5E">
      <w:rPr>
        <w:rFonts w:asciiTheme="minorHAnsi" w:hAnsiTheme="minorHAnsi"/>
        <w:color w:val="0070C0"/>
        <w:sz w:val="18"/>
        <w:szCs w:val="22"/>
      </w:rPr>
      <w:t>2014R1</w:t>
    </w:r>
    <w:r>
      <w:rPr>
        <w:rFonts w:asciiTheme="minorHAnsi" w:hAnsiTheme="minorHAnsi"/>
        <w:color w:val="0070C0"/>
        <w:sz w:val="18"/>
        <w:szCs w:val="22"/>
      </w:rPr>
      <w:t>.</w:t>
    </w:r>
    <w:r w:rsidR="00153E5E">
      <w:rPr>
        <w:rFonts w:asciiTheme="minorHAnsi" w:hAnsiTheme="minorHAnsi"/>
        <w:color w:val="0070C0"/>
        <w:sz w:val="18"/>
        <w:szCs w:val="22"/>
      </w:rPr>
      <w:t>2</w:t>
    </w:r>
  </w:p>
  <w:p w14:paraId="25C67880" w14:textId="2E28D98A" w:rsidR="00EE2461" w:rsidRPr="0071254D" w:rsidRDefault="00EE24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AF71DA">
      <w:rPr>
        <w:rStyle w:val="PageNumber"/>
        <w:rFonts w:asciiTheme="minorHAnsi" w:hAnsiTheme="minorHAnsi" w:cs="Times New Roman"/>
        <w:noProof/>
        <w:sz w:val="18"/>
        <w:szCs w:val="18"/>
      </w:rPr>
      <w:t>11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B518B" w14:textId="77777777" w:rsidR="00B13C52" w:rsidRDefault="00B13C52">
      <w:r>
        <w:separator/>
      </w:r>
    </w:p>
  </w:footnote>
  <w:footnote w:type="continuationSeparator" w:id="0">
    <w:p w14:paraId="76E03202" w14:textId="77777777" w:rsidR="00B13C52" w:rsidRDefault="00B13C52">
      <w:r>
        <w:continuationSeparator/>
      </w:r>
    </w:p>
  </w:footnote>
  <w:footnote w:id="1">
    <w:p w14:paraId="43ED6495" w14:textId="4669FC00" w:rsidR="00EE2461" w:rsidRPr="004F562B" w:rsidRDefault="00EE24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rsidR="009E06D7">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t>
      </w:r>
      <w:r w:rsidR="00E7069B">
        <w:rPr>
          <w:rFonts w:asciiTheme="minorHAnsi" w:hAnsiTheme="minorHAnsi" w:cs="Times New Roman"/>
          <w:sz w:val="16"/>
          <w:szCs w:val="16"/>
        </w:rPr>
        <w:t>T</w:t>
      </w:r>
      <w:r w:rsidRPr="004F562B">
        <w:rPr>
          <w:rFonts w:asciiTheme="minorHAnsi" w:hAnsiTheme="minorHAnsi" w:cs="Times New Roman"/>
          <w:sz w:val="16"/>
          <w:szCs w:val="16"/>
        </w:rPr>
        <w:t xml:space="preserve">his document should not be treated as a substitute for the Reliability Standard or as additional Reliability Standard requirements.  </w:t>
      </w:r>
      <w:r w:rsidR="00E7069B">
        <w:rPr>
          <w:rFonts w:asciiTheme="minorHAnsi" w:hAnsiTheme="minorHAnsi" w:cs="Times New Roman"/>
          <w:sz w:val="16"/>
          <w:szCs w:val="16"/>
        </w:rPr>
        <w:t>T</w:t>
      </w:r>
      <w:r w:rsidR="00E7069B" w:rsidRPr="004F562B">
        <w:rPr>
          <w:rFonts w:asciiTheme="minorHAnsi" w:hAnsiTheme="minorHAnsi" w:cs="Times New Roman"/>
          <w:sz w:val="16"/>
          <w:szCs w:val="16"/>
        </w:rPr>
        <w:t>o determine compliance with the Reliability Standard</w:t>
      </w:r>
      <w:r w:rsidRPr="004F562B">
        <w:rPr>
          <w:rFonts w:asciiTheme="minorHAnsi" w:hAnsiTheme="minorHAnsi" w:cs="Times New Roman"/>
          <w:sz w:val="16"/>
          <w:szCs w:val="16"/>
        </w:rPr>
        <w:t>, the Regional Entity should rely on the language contained in the Reliability Standard itself, and not on the language contained in this RSAW</w:t>
      </w:r>
      <w:r w:rsidR="00E7069B">
        <w:rPr>
          <w:rFonts w:asciiTheme="minorHAnsi" w:hAnsiTheme="minorHAnsi" w:cs="Times New Roman"/>
          <w:sz w:val="16"/>
          <w:szCs w:val="16"/>
        </w:rPr>
        <w:t>.</w:t>
      </w:r>
      <w:r w:rsidRPr="004F562B">
        <w:rPr>
          <w:rFonts w:asciiTheme="minorHAnsi" w:hAnsiTheme="minorHAnsi" w:cs="Times New Roman"/>
          <w:sz w:val="16"/>
          <w:szCs w:val="16"/>
        </w:rPr>
        <w:t xml:space="preserve">  NERC</w:t>
      </w:r>
      <w:r w:rsidR="00022F0C">
        <w:rPr>
          <w:rFonts w:asciiTheme="minorHAnsi" w:hAnsiTheme="minorHAnsi" w:cs="Times New Roman"/>
          <w:sz w:val="16"/>
          <w:szCs w:val="16"/>
        </w:rPr>
        <w:t>’s</w:t>
      </w:r>
      <w:r w:rsidRPr="004F562B">
        <w:rPr>
          <w:rFonts w:asciiTheme="minorHAnsi" w:hAnsiTheme="minorHAnsi" w:cs="Times New Roman"/>
          <w:sz w:val="16"/>
          <w:szCs w:val="16"/>
        </w:rPr>
        <w:t xml:space="preserve"> Reliability Standards are updated frequently, and this RSAW may not necessarily be updated with the same frequency.  Therefore, it is imperative that entities treat this RSAW as a reference document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E2461" w:rsidRPr="004F562B" w:rsidRDefault="00EE2461" w:rsidP="001D52A5">
      <w:pPr>
        <w:jc w:val="both"/>
        <w:rPr>
          <w:rFonts w:asciiTheme="minorHAnsi" w:hAnsiTheme="minorHAnsi" w:cs="Times New Roman"/>
          <w:sz w:val="16"/>
          <w:szCs w:val="16"/>
        </w:rPr>
      </w:pPr>
    </w:p>
    <w:p w14:paraId="551CD37E" w14:textId="7F9FAFC5" w:rsidR="00E7069B" w:rsidRDefault="00E6575F" w:rsidP="001D52A5">
      <w:pPr>
        <w:jc w:val="both"/>
        <w:rPr>
          <w:rFonts w:asciiTheme="minorHAnsi" w:hAnsiTheme="minorHAnsi" w:cs="Times New Roman"/>
          <w:sz w:val="16"/>
          <w:szCs w:val="16"/>
        </w:rPr>
      </w:pPr>
      <w:r w:rsidRPr="00E6575F">
        <w:rPr>
          <w:rFonts w:asciiTheme="minorHAnsi" w:hAnsiTheme="minorHAnsi" w:cs="Times New Roman"/>
          <w:sz w:val="16"/>
          <w:szCs w:val="16"/>
        </w:rPr>
        <w:t>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w:t>
      </w:r>
      <w:r w:rsidR="00EE2461" w:rsidRPr="004F562B">
        <w:rPr>
          <w:rFonts w:asciiTheme="minorHAnsi" w:hAnsiTheme="minorHAnsi" w:cs="Times New Roman"/>
          <w:sz w:val="16"/>
          <w:szCs w:val="16"/>
        </w:rPr>
        <w:t xml:space="preserve">  </w:t>
      </w:r>
    </w:p>
    <w:p w14:paraId="33B93400" w14:textId="77777777" w:rsidR="00E7069B" w:rsidRDefault="00E7069B" w:rsidP="001D52A5">
      <w:pPr>
        <w:jc w:val="both"/>
        <w:rPr>
          <w:rFonts w:asciiTheme="minorHAnsi" w:hAnsiTheme="minorHAnsi" w:cs="Times New Roman"/>
          <w:sz w:val="16"/>
          <w:szCs w:val="16"/>
        </w:rPr>
      </w:pPr>
    </w:p>
    <w:p w14:paraId="5A4CC534" w14:textId="2072C429" w:rsidR="00EE2461" w:rsidRPr="000C674E" w:rsidRDefault="00E7069B" w:rsidP="000C674E">
      <w:pPr>
        <w:jc w:val="both"/>
        <w:rPr>
          <w:rFonts w:asciiTheme="minorHAnsi" w:hAnsiTheme="minorHAnsi" w:cs="Times New Roman"/>
          <w:sz w:val="16"/>
          <w:szCs w:val="16"/>
        </w:rPr>
      </w:pPr>
      <w:r>
        <w:rPr>
          <w:rFonts w:asciiTheme="minorHAnsi" w:hAnsiTheme="minorHAnsi" w:cs="Times New Roman"/>
          <w:sz w:val="16"/>
          <w:szCs w:val="16"/>
        </w:rPr>
        <w:t>T</w:t>
      </w:r>
      <w:r w:rsidR="00EE2461" w:rsidRPr="004F562B">
        <w:rPr>
          <w:rFonts w:asciiTheme="minorHAnsi" w:hAnsiTheme="minorHAnsi" w:cs="Times New Roman"/>
          <w:sz w:val="16"/>
          <w:szCs w:val="16"/>
        </w:rPr>
        <w:t xml:space="preserve">his RSAW includes excerpts from </w:t>
      </w:r>
      <w:r w:rsidR="009E06D7">
        <w:rPr>
          <w:rFonts w:asciiTheme="minorHAnsi" w:hAnsiTheme="minorHAnsi" w:cs="Times New Roman"/>
          <w:sz w:val="16"/>
          <w:szCs w:val="16"/>
        </w:rPr>
        <w:t>Federal Energy Regulatory Commission (</w:t>
      </w:r>
      <w:r w:rsidR="00EE2461" w:rsidRPr="004F562B">
        <w:rPr>
          <w:rFonts w:asciiTheme="minorHAnsi" w:hAnsiTheme="minorHAnsi" w:cs="Times New Roman"/>
          <w:sz w:val="16"/>
          <w:szCs w:val="16"/>
        </w:rPr>
        <w:t>FERC</w:t>
      </w:r>
      <w:r w:rsidR="009E06D7">
        <w:rPr>
          <w:rFonts w:asciiTheme="minorHAnsi" w:hAnsiTheme="minorHAnsi" w:cs="Times New Roman"/>
          <w:sz w:val="16"/>
          <w:szCs w:val="16"/>
        </w:rPr>
        <w:t>)</w:t>
      </w:r>
      <w:r w:rsidR="00EE2461" w:rsidRPr="004F562B">
        <w:rPr>
          <w:rFonts w:asciiTheme="minorHAnsi" w:hAnsiTheme="minorHAnsi" w:cs="Times New Roman"/>
          <w:sz w:val="16"/>
          <w:szCs w:val="16"/>
        </w:rPr>
        <w:t xml:space="preserve"> Orders and other regulatory references</w:t>
      </w:r>
      <w:r w:rsidR="006D2DD3">
        <w:rPr>
          <w:rFonts w:asciiTheme="minorHAnsi" w:hAnsiTheme="minorHAnsi" w:cs="Times New Roman"/>
          <w:sz w:val="16"/>
          <w:szCs w:val="16"/>
        </w:rPr>
        <w:t>, where applicable</w:t>
      </w:r>
      <w:r w:rsidR="00EE2461" w:rsidRPr="004F562B">
        <w:rPr>
          <w:rFonts w:asciiTheme="minorHAnsi" w:hAnsiTheme="minorHAnsi" w:cs="Times New Roman"/>
          <w:sz w:val="16"/>
          <w:szCs w:val="16"/>
        </w:rPr>
        <w:t xml:space="preserve">.  The FERC Order cites are provided for ease of reference only, and this document does not include all applicable Order provisions.  In the event of a discrepancy between FERC Orders, and the language included in this document, FERC Orders shall prevail.   </w:t>
      </w:r>
    </w:p>
    <w:p w14:paraId="26063162" w14:textId="77777777" w:rsidR="000C674E" w:rsidRPr="000C674E" w:rsidRDefault="000C674E" w:rsidP="000C674E">
      <w:pPr>
        <w:jc w:val="both"/>
        <w:rPr>
          <w:rFonts w:asciiTheme="minorHAnsi" w:hAnsiTheme="minorHAnsi" w:cs="Times New Roman"/>
          <w:sz w:val="16"/>
          <w:szCs w:val="16"/>
        </w:rPr>
      </w:pPr>
    </w:p>
  </w:footnote>
  <w:footnote w:id="2">
    <w:p w14:paraId="4E364D8E" w14:textId="6DDC2625" w:rsidR="00EE2461" w:rsidRPr="005E228B" w:rsidRDefault="00EE2461" w:rsidP="000C674E">
      <w:pPr>
        <w:jc w:val="both"/>
        <w:rPr>
          <w:rFonts w:asciiTheme="minorHAnsi" w:hAnsiTheme="minorHAnsi" w:cs="Times New Roman"/>
          <w:sz w:val="16"/>
          <w:szCs w:val="16"/>
        </w:rPr>
      </w:pPr>
      <w:r w:rsidRPr="000C674E">
        <w:rPr>
          <w:rFonts w:asciiTheme="minorHAnsi" w:hAnsiTheme="minorHAnsi" w:cs="Times New Roman"/>
          <w:sz w:val="16"/>
          <w:szCs w:val="16"/>
          <w:vertAlign w:val="superscript"/>
        </w:rPr>
        <w:footnoteRef/>
      </w:r>
      <w:r w:rsidR="009E06D7" w:rsidRPr="000C674E">
        <w:rPr>
          <w:rFonts w:asciiTheme="minorHAnsi" w:hAnsiTheme="minorHAnsi" w:cs="Times New Roman"/>
          <w:sz w:val="16"/>
          <w:szCs w:val="16"/>
        </w:rP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2C43A4E6" w:rsidR="00EE2461" w:rsidRDefault="00EE2461" w:rsidP="00E67FE8">
    <w:pPr>
      <w:widowControl w:val="0"/>
      <w:spacing w:line="294" w:lineRule="exact"/>
      <w:rPr>
        <w:rFonts w:ascii="Times New Roman" w:hAnsi="Times New Roman" w:cs="Times New Roman"/>
        <w:b/>
        <w:bCs/>
        <w:color w:val="003366"/>
        <w:sz w:val="28"/>
        <w:szCs w:val="28"/>
      </w:rPr>
    </w:pPr>
  </w:p>
  <w:p w14:paraId="15ACB535" w14:textId="03FD05FE" w:rsidR="00EE2461" w:rsidRPr="00747591" w:rsidRDefault="00EE24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E2461" w:rsidRDefault="00EE246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E2461" w:rsidRDefault="00EE246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5F7A20"/>
    <w:multiLevelType w:val="multilevel"/>
    <w:tmpl w:val="9CCA6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169EC"/>
    <w:multiLevelType w:val="multilevel"/>
    <w:tmpl w:val="A35EB440"/>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bullet"/>
      <w:lvlText w:val="o"/>
      <w:lvlJc w:val="left"/>
      <w:pPr>
        <w:tabs>
          <w:tab w:val="num" w:pos="1080"/>
        </w:tabs>
        <w:ind w:left="2160" w:hanging="1080"/>
      </w:pPr>
      <w:rPr>
        <w:rFonts w:ascii="Courier New" w:hAnsi="Courier New" w:cs="Courier New"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15:restartNumberingAfterBreak="0">
    <w:nsid w:val="0BC7728F"/>
    <w:multiLevelType w:val="multilevel"/>
    <w:tmpl w:val="32F8A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A1640"/>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5" w15:restartNumberingAfterBreak="0">
    <w:nsid w:val="224B5F89"/>
    <w:multiLevelType w:val="hybridMultilevel"/>
    <w:tmpl w:val="9A30AD7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30F15038"/>
    <w:multiLevelType w:val="multilevel"/>
    <w:tmpl w:val="61128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BC4E84"/>
    <w:multiLevelType w:val="hybridMultilevel"/>
    <w:tmpl w:val="CD6EA872"/>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721A7C"/>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9" w15:restartNumberingAfterBreak="0">
    <w:nsid w:val="3A091B02"/>
    <w:multiLevelType w:val="hybridMultilevel"/>
    <w:tmpl w:val="2FC053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603329F"/>
    <w:multiLevelType w:val="multilevel"/>
    <w:tmpl w:val="86BE9A6E"/>
    <w:lvl w:ilvl="0">
      <w:start w:val="2"/>
      <w:numFmt w:val="decimal"/>
      <w:pStyle w:val="Requirement"/>
      <w:lvlText w:val="R%1."/>
      <w:lvlJc w:val="left"/>
      <w:pPr>
        <w:tabs>
          <w:tab w:val="num" w:pos="-144"/>
        </w:tabs>
        <w:ind w:left="-144" w:hanging="576"/>
      </w:pPr>
      <w:rPr>
        <w:rFonts w:hint="default"/>
        <w:b/>
        <w:i w:val="0"/>
        <w:sz w:val="24"/>
        <w:szCs w:val="22"/>
      </w:rPr>
    </w:lvl>
    <w:lvl w:ilvl="1">
      <w:start w:val="1"/>
      <w:numFmt w:val="decimal"/>
      <w:lvlText w:val="%1.%2."/>
      <w:lvlJc w:val="left"/>
      <w:pPr>
        <w:tabs>
          <w:tab w:val="num" w:pos="360"/>
        </w:tabs>
        <w:ind w:left="360" w:hanging="504"/>
      </w:pPr>
      <w:rPr>
        <w:rFonts w:asciiTheme="minorHAnsi" w:hAnsiTheme="minorHAnsi" w:hint="default"/>
        <w:b/>
        <w:i w:val="0"/>
        <w:sz w:val="24"/>
        <w:szCs w:val="22"/>
      </w:rPr>
    </w:lvl>
    <w:lvl w:ilvl="2">
      <w:start w:val="1"/>
      <w:numFmt w:val="decimal"/>
      <w:lvlText w:val="%1.%2.%3."/>
      <w:lvlJc w:val="left"/>
      <w:pPr>
        <w:tabs>
          <w:tab w:val="num" w:pos="648"/>
        </w:tabs>
        <w:ind w:left="1080" w:hanging="720"/>
      </w:pPr>
      <w:rPr>
        <w:rFonts w:ascii="Times New Roman" w:hAnsi="Times New Roman"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15:restartNumberingAfterBreak="0">
    <w:nsid w:val="4C85482B"/>
    <w:multiLevelType w:val="multilevel"/>
    <w:tmpl w:val="E01EA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C54135"/>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13" w15:restartNumberingAfterBreak="0">
    <w:nsid w:val="5F4F17D1"/>
    <w:multiLevelType w:val="multilevel"/>
    <w:tmpl w:val="B0E84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CB3584"/>
    <w:multiLevelType w:val="multilevel"/>
    <w:tmpl w:val="D94AA4CA"/>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15:restartNumberingAfterBreak="0">
    <w:nsid w:val="6D437642"/>
    <w:multiLevelType w:val="multilevel"/>
    <w:tmpl w:val="1536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6278A6"/>
    <w:multiLevelType w:val="multilevel"/>
    <w:tmpl w:val="A9CC9850"/>
    <w:lvl w:ilvl="0">
      <w:start w:val="1"/>
      <w:numFmt w:val="decimal"/>
      <w:lvlText w:val="R%1."/>
      <w:lvlJc w:val="left"/>
      <w:pPr>
        <w:tabs>
          <w:tab w:val="num" w:pos="1080"/>
        </w:tabs>
        <w:ind w:left="1080" w:hanging="576"/>
      </w:pPr>
      <w:rPr>
        <w:rFonts w:cs="Times New Roman" w:hint="default"/>
        <w:b/>
        <w:i w:val="0"/>
        <w:sz w:val="22"/>
        <w:szCs w:val="22"/>
      </w:rPr>
    </w:lvl>
    <w:lvl w:ilvl="1">
      <w:start w:val="1"/>
      <w:numFmt w:val="bullet"/>
      <w:pStyle w:val="ListBullet2"/>
      <w:lvlText w:val="-"/>
      <w:lvlJc w:val="left"/>
      <w:pPr>
        <w:tabs>
          <w:tab w:val="num" w:pos="1440"/>
        </w:tabs>
        <w:ind w:left="1440" w:hanging="360"/>
      </w:pPr>
      <w:rPr>
        <w:rFonts w:ascii="Courier New" w:hAnsi="Courier New" w:hint="default"/>
        <w:b/>
        <w:i w:val="0"/>
        <w:color w:val="auto"/>
        <w:sz w:val="22"/>
      </w:rPr>
    </w:lvl>
    <w:lvl w:ilvl="2">
      <w:start w:val="1"/>
      <w:numFmt w:val="decimal"/>
      <w:lvlText w:val="R%1.%2.%3."/>
      <w:lvlJc w:val="left"/>
      <w:pPr>
        <w:tabs>
          <w:tab w:val="num" w:pos="1872"/>
        </w:tabs>
        <w:ind w:left="2736" w:hanging="864"/>
      </w:pPr>
      <w:rPr>
        <w:rFonts w:ascii="Times New Roman" w:hAnsi="Times New Roman" w:cs="Times New Roman" w:hint="default"/>
        <w:b/>
        <w:i w:val="0"/>
        <w:sz w:val="22"/>
        <w:szCs w:val="22"/>
      </w:rPr>
    </w:lvl>
    <w:lvl w:ilvl="3">
      <w:start w:val="1"/>
      <w:numFmt w:val="decimal"/>
      <w:lvlText w:val="%1.%2.%3.%4."/>
      <w:lvlJc w:val="left"/>
      <w:pPr>
        <w:tabs>
          <w:tab w:val="num" w:pos="3024"/>
        </w:tabs>
        <w:ind w:left="2952" w:hanging="648"/>
      </w:pPr>
      <w:rPr>
        <w:rFonts w:cs="Times New Roman" w:hint="default"/>
        <w:b w:val="0"/>
        <w:i w:val="0"/>
      </w:rPr>
    </w:lvl>
    <w:lvl w:ilvl="4">
      <w:start w:val="1"/>
      <w:numFmt w:val="decimal"/>
      <w:lvlText w:val="%1.%2.%3.%4.%5"/>
      <w:lvlJc w:val="left"/>
      <w:pPr>
        <w:tabs>
          <w:tab w:val="num" w:pos="3456"/>
        </w:tabs>
        <w:ind w:left="3600" w:hanging="216"/>
      </w:pPr>
      <w:rPr>
        <w:rFonts w:ascii="Times New Roman" w:hAnsi="Times New Roman" w:cs="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cs="Times New Roman" w:hint="default"/>
      </w:rPr>
    </w:lvl>
    <w:lvl w:ilvl="7">
      <w:start w:val="1"/>
      <w:numFmt w:val="decimal"/>
      <w:lvlText w:val="%1.%2.%3.%4.%5.%6.%7.%8."/>
      <w:lvlJc w:val="left"/>
      <w:pPr>
        <w:tabs>
          <w:tab w:val="num" w:pos="4464"/>
        </w:tabs>
        <w:ind w:left="4248" w:hanging="1224"/>
      </w:pPr>
      <w:rPr>
        <w:rFonts w:cs="Times New Roman" w:hint="default"/>
      </w:rPr>
    </w:lvl>
    <w:lvl w:ilvl="8">
      <w:start w:val="1"/>
      <w:numFmt w:val="decimal"/>
      <w:lvlText w:val="%1.%2.%3.%4.%5.%6.%7.%8.%9."/>
      <w:lvlJc w:val="left"/>
      <w:pPr>
        <w:tabs>
          <w:tab w:val="num" w:pos="5184"/>
        </w:tabs>
        <w:ind w:left="4824" w:hanging="1440"/>
      </w:pPr>
      <w:rPr>
        <w:rFonts w:cs="Times New Roman" w:hint="default"/>
      </w:rPr>
    </w:lvl>
  </w:abstractNum>
  <w:abstractNum w:abstractNumId="17" w15:restartNumberingAfterBreak="0">
    <w:nsid w:val="7B2C1543"/>
    <w:multiLevelType w:val="multilevel"/>
    <w:tmpl w:val="E22A2A64"/>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7C4D71AB"/>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num w:numId="1">
    <w:abstractNumId w:val="10"/>
  </w:num>
  <w:num w:numId="2">
    <w:abstractNumId w:val="14"/>
  </w:num>
  <w:num w:numId="3">
    <w:abstractNumId w:val="11"/>
  </w:num>
  <w:num w:numId="4">
    <w:abstractNumId w:val="1"/>
  </w:num>
  <w:num w:numId="5">
    <w:abstractNumId w:val="9"/>
  </w:num>
  <w:num w:numId="6">
    <w:abstractNumId w:val="18"/>
  </w:num>
  <w:num w:numId="7">
    <w:abstractNumId w:val="3"/>
  </w:num>
  <w:num w:numId="8">
    <w:abstractNumId w:val="15"/>
  </w:num>
  <w:num w:numId="9">
    <w:abstractNumId w:val="6"/>
  </w:num>
  <w:num w:numId="10">
    <w:abstractNumId w:val="14"/>
  </w:num>
  <w:num w:numId="11">
    <w:abstractNumId w:val="13"/>
  </w:num>
  <w:num w:numId="12">
    <w:abstractNumId w:val="12"/>
  </w:num>
  <w:num w:numId="13">
    <w:abstractNumId w:val="4"/>
  </w:num>
  <w:num w:numId="14">
    <w:abstractNumId w:val="8"/>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2"/>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0B59"/>
    <w:rsid w:val="00013BFD"/>
    <w:rsid w:val="00014D37"/>
    <w:rsid w:val="00015EAB"/>
    <w:rsid w:val="0001788B"/>
    <w:rsid w:val="000179A2"/>
    <w:rsid w:val="000212D9"/>
    <w:rsid w:val="00021844"/>
    <w:rsid w:val="00022E22"/>
    <w:rsid w:val="00022F0C"/>
    <w:rsid w:val="00023D31"/>
    <w:rsid w:val="000247EF"/>
    <w:rsid w:val="000300B9"/>
    <w:rsid w:val="00033AFB"/>
    <w:rsid w:val="00034ADC"/>
    <w:rsid w:val="00036978"/>
    <w:rsid w:val="0003719C"/>
    <w:rsid w:val="00041263"/>
    <w:rsid w:val="00041788"/>
    <w:rsid w:val="00044024"/>
    <w:rsid w:val="00045121"/>
    <w:rsid w:val="00047231"/>
    <w:rsid w:val="00052F5E"/>
    <w:rsid w:val="0005590C"/>
    <w:rsid w:val="00056282"/>
    <w:rsid w:val="00060F12"/>
    <w:rsid w:val="00061CC7"/>
    <w:rsid w:val="00066981"/>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509C"/>
    <w:rsid w:val="000C674E"/>
    <w:rsid w:val="000C7A6E"/>
    <w:rsid w:val="000D09F7"/>
    <w:rsid w:val="000D0AEA"/>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5F36"/>
    <w:rsid w:val="001061B6"/>
    <w:rsid w:val="001075BF"/>
    <w:rsid w:val="00111900"/>
    <w:rsid w:val="00111E67"/>
    <w:rsid w:val="00113668"/>
    <w:rsid w:val="00113A57"/>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3E5E"/>
    <w:rsid w:val="001566E4"/>
    <w:rsid w:val="00157B1C"/>
    <w:rsid w:val="001600CB"/>
    <w:rsid w:val="00161974"/>
    <w:rsid w:val="00161BCD"/>
    <w:rsid w:val="00162065"/>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11F"/>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1F5D7E"/>
    <w:rsid w:val="00200BB7"/>
    <w:rsid w:val="00200C28"/>
    <w:rsid w:val="00200CB2"/>
    <w:rsid w:val="002024E6"/>
    <w:rsid w:val="002027AA"/>
    <w:rsid w:val="002066DB"/>
    <w:rsid w:val="00207E8C"/>
    <w:rsid w:val="002103E2"/>
    <w:rsid w:val="00210513"/>
    <w:rsid w:val="00210BAE"/>
    <w:rsid w:val="002111D4"/>
    <w:rsid w:val="0021144F"/>
    <w:rsid w:val="00212EEE"/>
    <w:rsid w:val="00213D72"/>
    <w:rsid w:val="00214DF3"/>
    <w:rsid w:val="002152B0"/>
    <w:rsid w:val="00216D60"/>
    <w:rsid w:val="00217196"/>
    <w:rsid w:val="00222481"/>
    <w:rsid w:val="00224B6E"/>
    <w:rsid w:val="00224F11"/>
    <w:rsid w:val="00225322"/>
    <w:rsid w:val="00226184"/>
    <w:rsid w:val="00227076"/>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2161"/>
    <w:rsid w:val="002C0108"/>
    <w:rsid w:val="002C053D"/>
    <w:rsid w:val="002C10B1"/>
    <w:rsid w:val="002C174E"/>
    <w:rsid w:val="002C1DF0"/>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1873"/>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056C"/>
    <w:rsid w:val="003D1343"/>
    <w:rsid w:val="003D28AA"/>
    <w:rsid w:val="003D7039"/>
    <w:rsid w:val="003E1473"/>
    <w:rsid w:val="003E1E03"/>
    <w:rsid w:val="003E2299"/>
    <w:rsid w:val="003E2468"/>
    <w:rsid w:val="003E4BA4"/>
    <w:rsid w:val="003E5193"/>
    <w:rsid w:val="003E60F2"/>
    <w:rsid w:val="003E6354"/>
    <w:rsid w:val="003F0CCC"/>
    <w:rsid w:val="003F1759"/>
    <w:rsid w:val="003F1D3A"/>
    <w:rsid w:val="003F5676"/>
    <w:rsid w:val="003F5D24"/>
    <w:rsid w:val="003F61D0"/>
    <w:rsid w:val="00400135"/>
    <w:rsid w:val="00400564"/>
    <w:rsid w:val="004005B5"/>
    <w:rsid w:val="0040080B"/>
    <w:rsid w:val="00401899"/>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3E95"/>
    <w:rsid w:val="00437BEF"/>
    <w:rsid w:val="00440BF2"/>
    <w:rsid w:val="004422BC"/>
    <w:rsid w:val="004422C3"/>
    <w:rsid w:val="00442893"/>
    <w:rsid w:val="004436C9"/>
    <w:rsid w:val="00443E7F"/>
    <w:rsid w:val="004500CD"/>
    <w:rsid w:val="00451897"/>
    <w:rsid w:val="00452214"/>
    <w:rsid w:val="00453A44"/>
    <w:rsid w:val="00453E57"/>
    <w:rsid w:val="00454791"/>
    <w:rsid w:val="004563E3"/>
    <w:rsid w:val="00456BF5"/>
    <w:rsid w:val="00462069"/>
    <w:rsid w:val="0046364E"/>
    <w:rsid w:val="00464FDB"/>
    <w:rsid w:val="00465F5F"/>
    <w:rsid w:val="00467D57"/>
    <w:rsid w:val="00470ADE"/>
    <w:rsid w:val="00471785"/>
    <w:rsid w:val="00471D99"/>
    <w:rsid w:val="0047440B"/>
    <w:rsid w:val="004752ED"/>
    <w:rsid w:val="004768F2"/>
    <w:rsid w:val="0048223A"/>
    <w:rsid w:val="00490283"/>
    <w:rsid w:val="0049303A"/>
    <w:rsid w:val="0049415C"/>
    <w:rsid w:val="00495257"/>
    <w:rsid w:val="004969DC"/>
    <w:rsid w:val="004A1D06"/>
    <w:rsid w:val="004A2ABA"/>
    <w:rsid w:val="004A308D"/>
    <w:rsid w:val="004A4FFD"/>
    <w:rsid w:val="004A5CF9"/>
    <w:rsid w:val="004A78D6"/>
    <w:rsid w:val="004B0169"/>
    <w:rsid w:val="004B162A"/>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2B20"/>
    <w:rsid w:val="005331E0"/>
    <w:rsid w:val="00533EAB"/>
    <w:rsid w:val="005341A7"/>
    <w:rsid w:val="0053450E"/>
    <w:rsid w:val="00535622"/>
    <w:rsid w:val="005403FB"/>
    <w:rsid w:val="00542529"/>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3EF"/>
    <w:rsid w:val="00695EC3"/>
    <w:rsid w:val="006A1AAE"/>
    <w:rsid w:val="006A2650"/>
    <w:rsid w:val="006A79D5"/>
    <w:rsid w:val="006B0C28"/>
    <w:rsid w:val="006B15BB"/>
    <w:rsid w:val="006B23C2"/>
    <w:rsid w:val="006B2624"/>
    <w:rsid w:val="006B3DBC"/>
    <w:rsid w:val="006B7F6F"/>
    <w:rsid w:val="006C2E95"/>
    <w:rsid w:val="006C43BC"/>
    <w:rsid w:val="006C4940"/>
    <w:rsid w:val="006C6597"/>
    <w:rsid w:val="006D1AA0"/>
    <w:rsid w:val="006D2DD3"/>
    <w:rsid w:val="006D6BDF"/>
    <w:rsid w:val="006E2863"/>
    <w:rsid w:val="006E3D69"/>
    <w:rsid w:val="006F054B"/>
    <w:rsid w:val="006F0CB6"/>
    <w:rsid w:val="006F1334"/>
    <w:rsid w:val="006F3938"/>
    <w:rsid w:val="006F6D5A"/>
    <w:rsid w:val="00700237"/>
    <w:rsid w:val="00700256"/>
    <w:rsid w:val="00703366"/>
    <w:rsid w:val="0070368D"/>
    <w:rsid w:val="00703C6B"/>
    <w:rsid w:val="00705BB3"/>
    <w:rsid w:val="007062AE"/>
    <w:rsid w:val="00706CF2"/>
    <w:rsid w:val="007072D5"/>
    <w:rsid w:val="00711969"/>
    <w:rsid w:val="0071254D"/>
    <w:rsid w:val="00713224"/>
    <w:rsid w:val="00714942"/>
    <w:rsid w:val="007149E3"/>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2F"/>
    <w:rsid w:val="00760FD3"/>
    <w:rsid w:val="00762707"/>
    <w:rsid w:val="00763025"/>
    <w:rsid w:val="007631AE"/>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2CC"/>
    <w:rsid w:val="007A79D5"/>
    <w:rsid w:val="007B0044"/>
    <w:rsid w:val="007B0396"/>
    <w:rsid w:val="007B3983"/>
    <w:rsid w:val="007B4198"/>
    <w:rsid w:val="007B431E"/>
    <w:rsid w:val="007B4A25"/>
    <w:rsid w:val="007B7587"/>
    <w:rsid w:val="007C07B3"/>
    <w:rsid w:val="007C1CAC"/>
    <w:rsid w:val="007C334A"/>
    <w:rsid w:val="007C461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446B"/>
    <w:rsid w:val="00816182"/>
    <w:rsid w:val="00816AB5"/>
    <w:rsid w:val="008208DB"/>
    <w:rsid w:val="0082291E"/>
    <w:rsid w:val="00823344"/>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39FC"/>
    <w:rsid w:val="008943A3"/>
    <w:rsid w:val="00894C04"/>
    <w:rsid w:val="00895015"/>
    <w:rsid w:val="00895204"/>
    <w:rsid w:val="008952D0"/>
    <w:rsid w:val="0089534B"/>
    <w:rsid w:val="0089703B"/>
    <w:rsid w:val="008971D2"/>
    <w:rsid w:val="00897E04"/>
    <w:rsid w:val="008A08CF"/>
    <w:rsid w:val="008A0D7C"/>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56D"/>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3CE9"/>
    <w:rsid w:val="00955457"/>
    <w:rsid w:val="0095786E"/>
    <w:rsid w:val="00960193"/>
    <w:rsid w:val="00963D52"/>
    <w:rsid w:val="00966FB3"/>
    <w:rsid w:val="00967288"/>
    <w:rsid w:val="009678EB"/>
    <w:rsid w:val="00971018"/>
    <w:rsid w:val="00971E90"/>
    <w:rsid w:val="00975299"/>
    <w:rsid w:val="00975F1A"/>
    <w:rsid w:val="00976516"/>
    <w:rsid w:val="00977821"/>
    <w:rsid w:val="009778F2"/>
    <w:rsid w:val="00980EB5"/>
    <w:rsid w:val="00981864"/>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B5915"/>
    <w:rsid w:val="009C03E5"/>
    <w:rsid w:val="009C3AAE"/>
    <w:rsid w:val="009C4442"/>
    <w:rsid w:val="009C6343"/>
    <w:rsid w:val="009D1C01"/>
    <w:rsid w:val="009D2E9C"/>
    <w:rsid w:val="009D4110"/>
    <w:rsid w:val="009D54C0"/>
    <w:rsid w:val="009D79B0"/>
    <w:rsid w:val="009E06D7"/>
    <w:rsid w:val="009E08E2"/>
    <w:rsid w:val="009E11CF"/>
    <w:rsid w:val="009E37EB"/>
    <w:rsid w:val="009E398F"/>
    <w:rsid w:val="009E4B99"/>
    <w:rsid w:val="009E5FE4"/>
    <w:rsid w:val="009F14D6"/>
    <w:rsid w:val="009F32EC"/>
    <w:rsid w:val="009F3B5A"/>
    <w:rsid w:val="009F4F9F"/>
    <w:rsid w:val="00A009E9"/>
    <w:rsid w:val="00A012B0"/>
    <w:rsid w:val="00A019EE"/>
    <w:rsid w:val="00A050AE"/>
    <w:rsid w:val="00A051B1"/>
    <w:rsid w:val="00A06730"/>
    <w:rsid w:val="00A06D1F"/>
    <w:rsid w:val="00A07D34"/>
    <w:rsid w:val="00A125DF"/>
    <w:rsid w:val="00A14177"/>
    <w:rsid w:val="00A147C5"/>
    <w:rsid w:val="00A1749E"/>
    <w:rsid w:val="00A2201D"/>
    <w:rsid w:val="00A247FB"/>
    <w:rsid w:val="00A2485B"/>
    <w:rsid w:val="00A251DE"/>
    <w:rsid w:val="00A25259"/>
    <w:rsid w:val="00A26661"/>
    <w:rsid w:val="00A2677C"/>
    <w:rsid w:val="00A279F9"/>
    <w:rsid w:val="00A30A2F"/>
    <w:rsid w:val="00A30EBD"/>
    <w:rsid w:val="00A3145E"/>
    <w:rsid w:val="00A324F4"/>
    <w:rsid w:val="00A33684"/>
    <w:rsid w:val="00A33C62"/>
    <w:rsid w:val="00A348F0"/>
    <w:rsid w:val="00A4052F"/>
    <w:rsid w:val="00A41C91"/>
    <w:rsid w:val="00A448A3"/>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E7EE8"/>
    <w:rsid w:val="00AF0B3E"/>
    <w:rsid w:val="00AF1605"/>
    <w:rsid w:val="00AF453F"/>
    <w:rsid w:val="00AF6EF7"/>
    <w:rsid w:val="00AF71DA"/>
    <w:rsid w:val="00AF7D36"/>
    <w:rsid w:val="00B018EF"/>
    <w:rsid w:val="00B01F43"/>
    <w:rsid w:val="00B03363"/>
    <w:rsid w:val="00B07E6E"/>
    <w:rsid w:val="00B103F3"/>
    <w:rsid w:val="00B11352"/>
    <w:rsid w:val="00B13C52"/>
    <w:rsid w:val="00B14F7A"/>
    <w:rsid w:val="00B156D5"/>
    <w:rsid w:val="00B15F0C"/>
    <w:rsid w:val="00B17540"/>
    <w:rsid w:val="00B17BF9"/>
    <w:rsid w:val="00B217F5"/>
    <w:rsid w:val="00B23813"/>
    <w:rsid w:val="00B23D38"/>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6769"/>
    <w:rsid w:val="00B7780E"/>
    <w:rsid w:val="00B80378"/>
    <w:rsid w:val="00B80BD8"/>
    <w:rsid w:val="00B81EDD"/>
    <w:rsid w:val="00B846C9"/>
    <w:rsid w:val="00B8504E"/>
    <w:rsid w:val="00B91499"/>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5DDE"/>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501"/>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27F2D"/>
    <w:rsid w:val="00C30084"/>
    <w:rsid w:val="00C30D7A"/>
    <w:rsid w:val="00C31AF9"/>
    <w:rsid w:val="00C32620"/>
    <w:rsid w:val="00C354E2"/>
    <w:rsid w:val="00C368AD"/>
    <w:rsid w:val="00C36DB2"/>
    <w:rsid w:val="00C37478"/>
    <w:rsid w:val="00C44688"/>
    <w:rsid w:val="00C50230"/>
    <w:rsid w:val="00C50A59"/>
    <w:rsid w:val="00C50DB5"/>
    <w:rsid w:val="00C51014"/>
    <w:rsid w:val="00C52796"/>
    <w:rsid w:val="00C529E6"/>
    <w:rsid w:val="00C52B6B"/>
    <w:rsid w:val="00C536BD"/>
    <w:rsid w:val="00C53955"/>
    <w:rsid w:val="00C54A75"/>
    <w:rsid w:val="00C577B6"/>
    <w:rsid w:val="00C61AF5"/>
    <w:rsid w:val="00C65EA7"/>
    <w:rsid w:val="00C67F84"/>
    <w:rsid w:val="00C70160"/>
    <w:rsid w:val="00C70589"/>
    <w:rsid w:val="00C714F2"/>
    <w:rsid w:val="00C77448"/>
    <w:rsid w:val="00C774E6"/>
    <w:rsid w:val="00C80F10"/>
    <w:rsid w:val="00C826F9"/>
    <w:rsid w:val="00C82EE3"/>
    <w:rsid w:val="00C83A02"/>
    <w:rsid w:val="00C84EF3"/>
    <w:rsid w:val="00C90B3D"/>
    <w:rsid w:val="00C918A9"/>
    <w:rsid w:val="00C92664"/>
    <w:rsid w:val="00C93B05"/>
    <w:rsid w:val="00C94FD7"/>
    <w:rsid w:val="00C95AB2"/>
    <w:rsid w:val="00C9691F"/>
    <w:rsid w:val="00CA03CA"/>
    <w:rsid w:val="00CA1613"/>
    <w:rsid w:val="00CA4831"/>
    <w:rsid w:val="00CA4A89"/>
    <w:rsid w:val="00CB4596"/>
    <w:rsid w:val="00CB5DA2"/>
    <w:rsid w:val="00CB6352"/>
    <w:rsid w:val="00CB6BB2"/>
    <w:rsid w:val="00CB743D"/>
    <w:rsid w:val="00CC2A51"/>
    <w:rsid w:val="00CC2AE6"/>
    <w:rsid w:val="00CC440E"/>
    <w:rsid w:val="00CC5F46"/>
    <w:rsid w:val="00CC7CE8"/>
    <w:rsid w:val="00CC7E3E"/>
    <w:rsid w:val="00CD225D"/>
    <w:rsid w:val="00CD4449"/>
    <w:rsid w:val="00CD6380"/>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51C8"/>
    <w:rsid w:val="00D07095"/>
    <w:rsid w:val="00D07A91"/>
    <w:rsid w:val="00D10C9C"/>
    <w:rsid w:val="00D13C8B"/>
    <w:rsid w:val="00D147D8"/>
    <w:rsid w:val="00D16C97"/>
    <w:rsid w:val="00D2147F"/>
    <w:rsid w:val="00D24275"/>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68ED"/>
    <w:rsid w:val="00D5748B"/>
    <w:rsid w:val="00D57631"/>
    <w:rsid w:val="00D607B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5EF"/>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1F4"/>
    <w:rsid w:val="00E35614"/>
    <w:rsid w:val="00E35EA1"/>
    <w:rsid w:val="00E36063"/>
    <w:rsid w:val="00E37C12"/>
    <w:rsid w:val="00E37D78"/>
    <w:rsid w:val="00E4114E"/>
    <w:rsid w:val="00E411DD"/>
    <w:rsid w:val="00E41E78"/>
    <w:rsid w:val="00E42167"/>
    <w:rsid w:val="00E47B9B"/>
    <w:rsid w:val="00E510B0"/>
    <w:rsid w:val="00E54000"/>
    <w:rsid w:val="00E54A47"/>
    <w:rsid w:val="00E572CA"/>
    <w:rsid w:val="00E57865"/>
    <w:rsid w:val="00E6575F"/>
    <w:rsid w:val="00E662CE"/>
    <w:rsid w:val="00E66BD1"/>
    <w:rsid w:val="00E66F95"/>
    <w:rsid w:val="00E67FE8"/>
    <w:rsid w:val="00E7069B"/>
    <w:rsid w:val="00E70AA6"/>
    <w:rsid w:val="00E72C47"/>
    <w:rsid w:val="00E731EE"/>
    <w:rsid w:val="00E73F0E"/>
    <w:rsid w:val="00E769DD"/>
    <w:rsid w:val="00E76BB8"/>
    <w:rsid w:val="00E771B0"/>
    <w:rsid w:val="00E824DF"/>
    <w:rsid w:val="00E83A5C"/>
    <w:rsid w:val="00E92133"/>
    <w:rsid w:val="00E93CB5"/>
    <w:rsid w:val="00E9579B"/>
    <w:rsid w:val="00E957B7"/>
    <w:rsid w:val="00E96DB8"/>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2461"/>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264DF"/>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2FA1"/>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9415C"/>
    <w:pPr>
      <w:numPr>
        <w:numId w:val="1"/>
      </w:numPr>
      <w:autoSpaceDE/>
      <w:autoSpaceDN/>
      <w:adjustRightInd/>
      <w:spacing w:after="120"/>
      <w:contextualSpacing w:val="0"/>
    </w:pPr>
    <w:rPr>
      <w:rFonts w:ascii="Times New Roman" w:hAnsi="Times New Roman" w:cs="Times New Roman"/>
      <w:color w:val="auto"/>
    </w:rPr>
  </w:style>
  <w:style w:type="character" w:customStyle="1" w:styleId="BoxText">
    <w:name w:val="Box Text"/>
    <w:basedOn w:val="DefaultParagraphFont"/>
    <w:rsid w:val="0049415C"/>
    <w:rPr>
      <w:rFonts w:ascii="Arial" w:hAnsi="Arial"/>
      <w:b/>
      <w:sz w:val="20"/>
    </w:rPr>
  </w:style>
  <w:style w:type="paragraph" w:styleId="List2">
    <w:name w:val="List 2"/>
    <w:basedOn w:val="Normal"/>
    <w:uiPriority w:val="99"/>
    <w:semiHidden/>
    <w:unhideWhenUsed/>
    <w:rsid w:val="0049415C"/>
    <w:pPr>
      <w:ind w:left="720" w:hanging="360"/>
      <w:contextualSpacing/>
    </w:pPr>
  </w:style>
  <w:style w:type="paragraph" w:customStyle="1" w:styleId="Measure">
    <w:name w:val="Measure"/>
    <w:basedOn w:val="Requirement"/>
    <w:rsid w:val="0049415C"/>
    <w:pPr>
      <w:numPr>
        <w:numId w:val="2"/>
      </w:numPr>
      <w:tabs>
        <w:tab w:val="left" w:pos="936"/>
      </w:tabs>
    </w:pPr>
  </w:style>
  <w:style w:type="paragraph" w:customStyle="1" w:styleId="Section">
    <w:name w:val="Section"/>
    <w:basedOn w:val="Normal"/>
    <w:next w:val="ListNumber"/>
    <w:uiPriority w:val="99"/>
    <w:rsid w:val="006953EF"/>
    <w:pPr>
      <w:numPr>
        <w:numId w:val="16"/>
      </w:numPr>
      <w:tabs>
        <w:tab w:val="left" w:pos="1080"/>
      </w:tabs>
      <w:autoSpaceDE/>
      <w:autoSpaceDN/>
      <w:adjustRightInd/>
      <w:spacing w:after="120"/>
    </w:pPr>
    <w:rPr>
      <w:rFonts w:cs="Times New Roman"/>
      <w:b/>
      <w:color w:val="auto"/>
    </w:rPr>
  </w:style>
  <w:style w:type="paragraph" w:styleId="ListNumber">
    <w:name w:val="List Number"/>
    <w:basedOn w:val="Normal"/>
    <w:rsid w:val="006953EF"/>
    <w:pPr>
      <w:numPr>
        <w:numId w:val="15"/>
      </w:numPr>
      <w:tabs>
        <w:tab w:val="left" w:pos="2160"/>
      </w:tabs>
      <w:autoSpaceDE/>
      <w:autoSpaceDN/>
      <w:adjustRightInd/>
      <w:spacing w:after="120"/>
    </w:pPr>
    <w:rPr>
      <w:rFonts w:ascii="Times New Roman" w:hAnsi="Times New Roman" w:cs="Times New Roman"/>
      <w:color w:val="auto"/>
    </w:rPr>
  </w:style>
  <w:style w:type="paragraph" w:customStyle="1" w:styleId="BodyIndent2">
    <w:name w:val="Body Indent 2"/>
    <w:basedOn w:val="Normal"/>
    <w:rsid w:val="006953EF"/>
    <w:pPr>
      <w:autoSpaceDE/>
      <w:autoSpaceDN/>
      <w:adjustRightInd/>
      <w:spacing w:after="120"/>
      <w:ind w:left="1440"/>
    </w:pPr>
    <w:rPr>
      <w:rFonts w:ascii="Times New Roman" w:hAnsi="Times New Roman" w:cs="Times New Roman"/>
      <w:color w:val="auto"/>
    </w:rPr>
  </w:style>
  <w:style w:type="paragraph" w:customStyle="1" w:styleId="Table">
    <w:name w:val="Table"/>
    <w:basedOn w:val="Normal"/>
    <w:rsid w:val="006953EF"/>
    <w:pPr>
      <w:autoSpaceDE/>
      <w:autoSpaceDN/>
      <w:adjustRightInd/>
      <w:spacing w:before="60" w:after="60"/>
    </w:pPr>
    <w:rPr>
      <w:rFonts w:ascii="Times New Roman" w:hAnsi="Times New Roman" w:cs="Times New Roman"/>
      <w:b/>
      <w:color w:val="auto"/>
      <w:szCs w:val="22"/>
    </w:rPr>
  </w:style>
  <w:style w:type="paragraph" w:styleId="ListBullet2">
    <w:name w:val="List Bullet 2"/>
    <w:basedOn w:val="Normal"/>
    <w:rsid w:val="006953EF"/>
    <w:pPr>
      <w:numPr>
        <w:ilvl w:val="1"/>
        <w:numId w:val="18"/>
      </w:numPr>
      <w:autoSpaceDE/>
      <w:autoSpaceDN/>
      <w:adjustRightInd/>
      <w:spacing w:after="120"/>
    </w:pPr>
    <w:rPr>
      <w:rFonts w:ascii="Times New Roman" w:hAnsi="Times New Roman" w:cs="Times New Roman"/>
      <w:color w:val="auto"/>
      <w:sz w:val="22"/>
    </w:rPr>
  </w:style>
  <w:style w:type="character" w:customStyle="1" w:styleId="FERCparanumberChar">
    <w:name w:val="FERC paranumber Char"/>
    <w:link w:val="FERCparanumber"/>
    <w:rsid w:val="00D568ED"/>
    <w:rPr>
      <w:sz w:val="26"/>
    </w:rPr>
  </w:style>
  <w:style w:type="paragraph" w:customStyle="1" w:styleId="FERCparanumber">
    <w:name w:val="FERC paranumber"/>
    <w:basedOn w:val="Normal"/>
    <w:link w:val="FERCparanumberChar"/>
    <w:rsid w:val="00D568ED"/>
    <w:pPr>
      <w:tabs>
        <w:tab w:val="num" w:pos="720"/>
      </w:tabs>
      <w:spacing w:after="240"/>
    </w:pPr>
    <w:rPr>
      <w:rFonts w:asciiTheme="minorHAnsi" w:hAnsiTheme="minorHAnsi" w:cs="Times New Roman"/>
      <w:sz w:val="26"/>
    </w:rPr>
  </w:style>
  <w:style w:type="paragraph" w:styleId="PlainText">
    <w:name w:val="Plain Text"/>
    <w:basedOn w:val="Normal"/>
    <w:link w:val="PlainTextChar"/>
    <w:uiPriority w:val="99"/>
    <w:semiHidden/>
    <w:unhideWhenUsed/>
    <w:rsid w:val="00D568ED"/>
    <w:pPr>
      <w:autoSpaceDE/>
      <w:autoSpaceDN/>
      <w:adjustRightInd/>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D568ED"/>
    <w:rPr>
      <w:rFonts w:ascii="Calibri" w:eastAsiaTheme="minorHAnsi" w:hAnsi="Calibri" w:cs="Consolas"/>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FilingsOrders/us/FERCOrdersRules/INT%20Letter%20Ord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INT-010-2.1</Number>
    <Date xmlns="078344ff-8d50-4bff-90aa-a5f449462ba4">2018-02-26T05:00:00+00:00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DA0FA-C2A7-48B0-A86E-76BEC8D4525B}"/>
</file>

<file path=customXml/itemProps2.xml><?xml version="1.0" encoding="utf-8"?>
<ds:datastoreItem xmlns:ds="http://schemas.openxmlformats.org/officeDocument/2006/customXml" ds:itemID="{955BA1F2-02F4-4F8B-959D-8053FA06D364}"/>
</file>

<file path=customXml/itemProps3.xml><?xml version="1.0" encoding="utf-8"?>
<ds:datastoreItem xmlns:ds="http://schemas.openxmlformats.org/officeDocument/2006/customXml" ds:itemID="{E087F7E2-00EB-4906-806B-3BAD84764287}"/>
</file>

<file path=customXml/itemProps4.xml><?xml version="1.0" encoding="utf-8"?>
<ds:datastoreItem xmlns:ds="http://schemas.openxmlformats.org/officeDocument/2006/customXml" ds:itemID="{3BB5E5D1-18E8-4204-81B3-93DBA6B9EBAA}"/>
</file>

<file path=customXml/itemProps5.xml><?xml version="1.0" encoding="utf-8"?>
<ds:datastoreItem xmlns:ds="http://schemas.openxmlformats.org/officeDocument/2006/customXml" ds:itemID="{CB7A913C-0686-408B-A5C7-35AF3509A423}"/>
</file>

<file path=customXml/itemProps6.xml><?xml version="1.0" encoding="utf-8"?>
<ds:datastoreItem xmlns:ds="http://schemas.openxmlformats.org/officeDocument/2006/customXml" ds:itemID="{599C62A9-1192-4088-A811-6E5B4AE58ECF}"/>
</file>

<file path=docProps/app.xml><?xml version="1.0" encoding="utf-8"?>
<Properties xmlns="http://schemas.openxmlformats.org/officeDocument/2006/extended-properties" xmlns:vt="http://schemas.openxmlformats.org/officeDocument/2006/docPropsVTypes">
  <Template>Normal</Template>
  <TotalTime>0</TotalTime>
  <Pages>11</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Interchange Initiation and Modification for Reliability</vt:lpstr>
    </vt:vector>
  </TitlesOfParts>
  <LinksUpToDate>false</LinksUpToDate>
  <CharactersWithSpaces>12501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Interchange Initiation and Modification for Reliability</dc:title>
  <dc:creator/>
  <cp:lastModifiedBy/>
  <cp:revision>1</cp:revision>
  <dcterms:created xsi:type="dcterms:W3CDTF">2018-02-07T19:03:00Z</dcterms:created>
  <dcterms:modified xsi:type="dcterms:W3CDTF">2018-02-26T19:38:00Z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7bd84704-7d57-4417-9895-d35bb67e40c8</vt:lpwstr>
  </property>
  <property fmtid="{D5CDD505-2E9C-101B-9397-08002B2CF9AE}" pid="4" name="TemplateUrl">
    <vt:lpwstr/>
  </property>
  <property fmtid="{D5CDD505-2E9C-101B-9397-08002B2CF9AE}" pid="5" name="Order">
    <vt:r8>37700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